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ascii="方正小标宋简体" w:eastAsia="方正小标宋简体"/>
          <w:sz w:val="84"/>
          <w:szCs w:val="84"/>
        </w:rPr>
        <w:t>2018</w:t>
      </w:r>
      <w:r>
        <w:rPr>
          <w:rFonts w:hint="eastAsia" w:ascii="方正小标宋简体" w:eastAsia="方正小标宋简体"/>
          <w:sz w:val="84"/>
          <w:szCs w:val="84"/>
        </w:rPr>
        <w:t>年度</w:t>
      </w: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中共上杭县委党校部门决算</w:t>
      </w:r>
    </w:p>
    <w:p>
      <w:pPr>
        <w:widowControl/>
        <w:rPr>
          <w:sz w:val="84"/>
          <w:szCs w:val="84"/>
        </w:rPr>
      </w:pPr>
      <w:r>
        <w:rPr>
          <w:sz w:val="84"/>
          <w:szCs w:val="84"/>
        </w:rPr>
        <w:br w:type="page"/>
      </w:r>
    </w:p>
    <w:p>
      <w:pPr>
        <w:jc w:val="center"/>
        <w:rPr>
          <w:rFonts w:ascii="仿宋" w:hAnsi="仿宋" w:eastAsia="仿宋"/>
          <w:b/>
          <w:sz w:val="32"/>
          <w:szCs w:val="32"/>
        </w:rPr>
      </w:pPr>
      <w:r>
        <w:rPr>
          <w:rFonts w:hint="eastAsia" w:ascii="仿宋" w:hAnsi="仿宋" w:eastAsia="仿宋"/>
          <w:b/>
          <w:sz w:val="32"/>
          <w:szCs w:val="32"/>
        </w:rPr>
        <w:t>目</w:t>
      </w:r>
      <w:r>
        <w:rPr>
          <w:rFonts w:ascii="仿宋" w:hAnsi="仿宋" w:eastAsia="仿宋"/>
          <w:b/>
          <w:sz w:val="32"/>
          <w:szCs w:val="32"/>
        </w:rPr>
        <w:t xml:space="preserve"> </w:t>
      </w:r>
      <w:r>
        <w:rPr>
          <w:rFonts w:hint="eastAsia" w:ascii="仿宋" w:hAnsi="仿宋" w:eastAsia="仿宋"/>
          <w:b/>
          <w:sz w:val="32"/>
          <w:szCs w:val="32"/>
        </w:rPr>
        <w:t>录</w:t>
      </w:r>
    </w:p>
    <w:p>
      <w:pPr>
        <w:jc w:val="left"/>
      </w:pPr>
      <w:r>
        <w:rPr>
          <w:rFonts w:hint="eastAsia" w:ascii="仿宋" w:hAnsi="仿宋" w:eastAsia="仿宋"/>
          <w:b/>
          <w:sz w:val="32"/>
          <w:szCs w:val="32"/>
        </w:rPr>
        <w:t>第一部分</w:t>
      </w:r>
      <w:r>
        <w:rPr>
          <w:rFonts w:ascii="仿宋" w:hAnsi="仿宋" w:eastAsia="仿宋"/>
          <w:b/>
          <w:sz w:val="32"/>
          <w:szCs w:val="32"/>
        </w:rPr>
        <w:t xml:space="preserve"> </w:t>
      </w:r>
      <w:r>
        <w:rPr>
          <w:rFonts w:hint="eastAsia" w:ascii="仿宋" w:hAnsi="仿宋" w:eastAsia="仿宋"/>
          <w:b/>
          <w:sz w:val="32"/>
          <w:szCs w:val="32"/>
        </w:rPr>
        <w:t>部门概况</w:t>
      </w:r>
      <w:r>
        <w:rPr>
          <w:rFonts w:ascii="仿宋" w:hAnsi="仿宋" w:eastAsia="仿宋"/>
          <w:sz w:val="32"/>
          <w:szCs w:val="32"/>
        </w:rPr>
        <w:t xml:space="preserve"> .................................03</w:t>
      </w:r>
    </w:p>
    <w:p>
      <w:pPr>
        <w:jc w:val="left"/>
        <w:rPr>
          <w:rFonts w:ascii="仿宋" w:hAnsi="仿宋" w:eastAsia="仿宋"/>
          <w:sz w:val="32"/>
          <w:szCs w:val="32"/>
        </w:rPr>
      </w:pPr>
      <w:r>
        <w:rPr>
          <w:rFonts w:hint="eastAsia" w:ascii="仿宋" w:hAnsi="仿宋" w:eastAsia="仿宋"/>
          <w:sz w:val="32"/>
          <w:szCs w:val="32"/>
        </w:rPr>
        <w:t>一、部门主要职责</w:t>
      </w:r>
      <w:r>
        <w:rPr>
          <w:rFonts w:ascii="仿宋" w:hAnsi="仿宋" w:eastAsia="仿宋"/>
          <w:sz w:val="32"/>
          <w:szCs w:val="32"/>
        </w:rPr>
        <w:t xml:space="preserve"> ................................03</w:t>
      </w:r>
    </w:p>
    <w:p>
      <w:pPr>
        <w:jc w:val="left"/>
        <w:rPr>
          <w:rFonts w:ascii="仿宋" w:hAnsi="仿宋" w:eastAsia="仿宋"/>
          <w:sz w:val="32"/>
          <w:szCs w:val="32"/>
        </w:rPr>
      </w:pPr>
      <w:r>
        <w:rPr>
          <w:rFonts w:hint="eastAsia" w:ascii="仿宋" w:hAnsi="仿宋" w:eastAsia="仿宋"/>
          <w:sz w:val="32"/>
          <w:szCs w:val="32"/>
        </w:rPr>
        <w:t>二、部门决算单位基本情况</w:t>
      </w:r>
      <w:r>
        <w:rPr>
          <w:rFonts w:ascii="仿宋" w:hAnsi="仿宋" w:eastAsia="仿宋"/>
          <w:sz w:val="32"/>
          <w:szCs w:val="32"/>
        </w:rPr>
        <w:t xml:space="preserve"> ........................03</w:t>
      </w:r>
    </w:p>
    <w:p>
      <w:pPr>
        <w:jc w:val="left"/>
        <w:rPr>
          <w:rFonts w:ascii="仿宋" w:hAnsi="仿宋" w:eastAsia="仿宋"/>
          <w:sz w:val="32"/>
          <w:szCs w:val="32"/>
        </w:rPr>
      </w:pPr>
      <w:r>
        <w:rPr>
          <w:rFonts w:hint="eastAsia" w:ascii="仿宋" w:hAnsi="仿宋" w:eastAsia="仿宋"/>
          <w:sz w:val="32"/>
          <w:szCs w:val="32"/>
        </w:rPr>
        <w:t>三、部门主要工作总结</w:t>
      </w:r>
      <w:r>
        <w:rPr>
          <w:rFonts w:ascii="仿宋" w:hAnsi="仿宋" w:eastAsia="仿宋"/>
          <w:sz w:val="32"/>
          <w:szCs w:val="32"/>
        </w:rPr>
        <w:t>.............................04</w:t>
      </w:r>
    </w:p>
    <w:p>
      <w:pPr>
        <w:jc w:val="left"/>
        <w:rPr>
          <w:rFonts w:ascii="仿宋" w:hAnsi="仿宋" w:eastAsia="仿宋"/>
          <w:sz w:val="32"/>
          <w:szCs w:val="32"/>
        </w:rPr>
      </w:pPr>
      <w:r>
        <w:rPr>
          <w:rFonts w:hint="eastAsia" w:ascii="仿宋" w:hAnsi="仿宋" w:eastAsia="仿宋"/>
          <w:b/>
          <w:sz w:val="32"/>
          <w:szCs w:val="32"/>
        </w:rPr>
        <w:t>第二部分</w:t>
      </w:r>
      <w:r>
        <w:rPr>
          <w:rFonts w:ascii="仿宋" w:hAnsi="仿宋" w:eastAsia="仿宋"/>
          <w:b/>
          <w:sz w:val="32"/>
          <w:szCs w:val="32"/>
        </w:rPr>
        <w:t xml:space="preserve"> </w:t>
      </w:r>
      <w:r>
        <w:rPr>
          <w:rFonts w:ascii="仿宋" w:hAnsi="仿宋" w:eastAsia="仿宋" w:cs="仿宋_GB2312"/>
          <w:sz w:val="32"/>
          <w:szCs w:val="32"/>
        </w:rPr>
        <w:t>2018</w:t>
      </w:r>
      <w:r>
        <w:rPr>
          <w:rFonts w:hint="eastAsia" w:ascii="仿宋" w:hAnsi="仿宋" w:eastAsia="仿宋"/>
          <w:b/>
          <w:sz w:val="32"/>
          <w:szCs w:val="32"/>
        </w:rPr>
        <w:t>年度部门决算情况说明</w:t>
      </w:r>
      <w:r>
        <w:rPr>
          <w:rFonts w:ascii="仿宋" w:hAnsi="仿宋" w:eastAsia="仿宋"/>
          <w:sz w:val="32"/>
          <w:szCs w:val="32"/>
        </w:rPr>
        <w:t xml:space="preserve"> .................17</w:t>
      </w:r>
    </w:p>
    <w:p>
      <w:pPr>
        <w:jc w:val="left"/>
        <w:rPr>
          <w:rFonts w:ascii="仿宋" w:hAnsi="仿宋" w:eastAsia="仿宋"/>
          <w:sz w:val="32"/>
          <w:szCs w:val="32"/>
        </w:rPr>
      </w:pPr>
      <w:r>
        <w:rPr>
          <w:rFonts w:hint="eastAsia" w:ascii="仿宋" w:hAnsi="仿宋" w:eastAsia="仿宋"/>
          <w:sz w:val="32"/>
          <w:szCs w:val="32"/>
        </w:rPr>
        <w:t>一、收入支出决算总体情况说明</w:t>
      </w:r>
      <w:r>
        <w:rPr>
          <w:rFonts w:ascii="仿宋" w:hAnsi="仿宋" w:eastAsia="仿宋"/>
          <w:sz w:val="32"/>
          <w:szCs w:val="32"/>
        </w:rPr>
        <w:t xml:space="preserve"> ....................17</w:t>
      </w:r>
    </w:p>
    <w:p>
      <w:pPr>
        <w:jc w:val="left"/>
        <w:rPr>
          <w:rFonts w:ascii="仿宋" w:hAnsi="仿宋" w:eastAsia="仿宋"/>
          <w:sz w:val="32"/>
          <w:szCs w:val="32"/>
        </w:rPr>
      </w:pPr>
      <w:r>
        <w:rPr>
          <w:rFonts w:hint="eastAsia" w:ascii="仿宋" w:hAnsi="仿宋" w:eastAsia="仿宋"/>
          <w:sz w:val="32"/>
          <w:szCs w:val="32"/>
        </w:rPr>
        <w:t>二、一般公共预算财政拨款支出决算情况说明</w:t>
      </w:r>
      <w:r>
        <w:rPr>
          <w:rFonts w:ascii="仿宋" w:hAnsi="仿宋" w:eastAsia="仿宋"/>
          <w:sz w:val="32"/>
          <w:szCs w:val="32"/>
        </w:rPr>
        <w:t>.........18</w:t>
      </w:r>
    </w:p>
    <w:p>
      <w:pPr>
        <w:jc w:val="left"/>
        <w:rPr>
          <w:rFonts w:ascii="仿宋" w:hAnsi="仿宋" w:eastAsia="仿宋"/>
          <w:sz w:val="32"/>
          <w:szCs w:val="32"/>
        </w:rPr>
      </w:pPr>
      <w:r>
        <w:rPr>
          <w:rFonts w:hint="eastAsia" w:ascii="仿宋" w:hAnsi="仿宋" w:eastAsia="仿宋"/>
          <w:sz w:val="32"/>
          <w:szCs w:val="32"/>
        </w:rPr>
        <w:t>三、政府性基金支出决算情况说明</w:t>
      </w:r>
      <w:r>
        <w:rPr>
          <w:rFonts w:ascii="仿宋" w:hAnsi="仿宋" w:eastAsia="仿宋"/>
          <w:sz w:val="32"/>
          <w:szCs w:val="32"/>
        </w:rPr>
        <w:t xml:space="preserve"> ..................18</w:t>
      </w:r>
    </w:p>
    <w:p>
      <w:pPr>
        <w:jc w:val="left"/>
        <w:rPr>
          <w:rFonts w:ascii="仿宋" w:hAnsi="仿宋" w:eastAsia="仿宋"/>
          <w:sz w:val="32"/>
          <w:szCs w:val="32"/>
        </w:rPr>
      </w:pPr>
      <w:r>
        <w:rPr>
          <w:rFonts w:hint="eastAsia" w:ascii="仿宋" w:hAnsi="仿宋" w:eastAsia="仿宋"/>
          <w:sz w:val="32"/>
          <w:szCs w:val="32"/>
        </w:rPr>
        <w:t>四、一般公共预算财政拨款基本支出决算情况说明</w:t>
      </w:r>
      <w:r>
        <w:rPr>
          <w:rFonts w:ascii="仿宋" w:hAnsi="仿宋" w:eastAsia="仿宋"/>
          <w:sz w:val="32"/>
          <w:szCs w:val="32"/>
        </w:rPr>
        <w:t>.....18</w:t>
      </w:r>
    </w:p>
    <w:p>
      <w:pPr>
        <w:jc w:val="left"/>
        <w:rPr>
          <w:rFonts w:ascii="仿宋" w:hAnsi="仿宋" w:eastAsia="仿宋"/>
          <w:sz w:val="32"/>
          <w:szCs w:val="32"/>
        </w:rPr>
      </w:pPr>
      <w:r>
        <w:rPr>
          <w:rFonts w:hint="eastAsia" w:ascii="仿宋" w:hAnsi="仿宋" w:eastAsia="仿宋"/>
          <w:sz w:val="32"/>
          <w:szCs w:val="32"/>
        </w:rPr>
        <w:t>五、一般公共预算财政拨款“三公”经费支出决算情况说明</w:t>
      </w:r>
      <w:r>
        <w:rPr>
          <w:rFonts w:ascii="仿宋" w:hAnsi="仿宋" w:eastAsia="仿宋"/>
          <w:sz w:val="32"/>
          <w:szCs w:val="32"/>
        </w:rPr>
        <w:t xml:space="preserve">.19 </w:t>
      </w:r>
    </w:p>
    <w:p>
      <w:pPr>
        <w:jc w:val="left"/>
        <w:rPr>
          <w:rFonts w:ascii="仿宋" w:hAnsi="仿宋" w:eastAsia="仿宋"/>
          <w:sz w:val="32"/>
          <w:szCs w:val="32"/>
        </w:rPr>
      </w:pPr>
      <w:r>
        <w:rPr>
          <w:rFonts w:hint="eastAsia" w:ascii="仿宋" w:hAnsi="仿宋" w:eastAsia="仿宋"/>
          <w:sz w:val="32"/>
          <w:szCs w:val="32"/>
        </w:rPr>
        <w:t>六、预算绩效情况说明</w:t>
      </w:r>
      <w:r>
        <w:rPr>
          <w:rFonts w:ascii="仿宋" w:hAnsi="仿宋" w:eastAsia="仿宋"/>
          <w:sz w:val="32"/>
          <w:szCs w:val="32"/>
        </w:rPr>
        <w:t>.............................19</w:t>
      </w:r>
    </w:p>
    <w:p>
      <w:pPr>
        <w:jc w:val="left"/>
        <w:rPr>
          <w:rFonts w:ascii="仿宋" w:hAnsi="仿宋" w:eastAsia="仿宋"/>
          <w:sz w:val="32"/>
          <w:szCs w:val="32"/>
        </w:rPr>
      </w:pPr>
      <w:r>
        <w:rPr>
          <w:rFonts w:hint="eastAsia" w:ascii="仿宋" w:hAnsi="仿宋" w:eastAsia="仿宋"/>
          <w:sz w:val="32"/>
          <w:szCs w:val="32"/>
        </w:rPr>
        <w:t>七、其他重要事项情况说明</w:t>
      </w:r>
      <w:r>
        <w:rPr>
          <w:rFonts w:ascii="仿宋" w:hAnsi="仿宋" w:eastAsia="仿宋"/>
          <w:sz w:val="32"/>
          <w:szCs w:val="32"/>
        </w:rPr>
        <w:t>.........................20</w:t>
      </w:r>
    </w:p>
    <w:p>
      <w:pPr>
        <w:jc w:val="left"/>
        <w:rPr>
          <w:rFonts w:ascii="仿宋" w:hAnsi="仿宋" w:eastAsia="仿宋"/>
          <w:sz w:val="32"/>
          <w:szCs w:val="32"/>
        </w:rPr>
      </w:pPr>
      <w:r>
        <w:rPr>
          <w:rFonts w:hint="eastAsia" w:ascii="仿宋" w:hAnsi="仿宋" w:eastAsia="仿宋"/>
          <w:b/>
          <w:sz w:val="32"/>
          <w:szCs w:val="32"/>
        </w:rPr>
        <w:t>第三部分</w:t>
      </w:r>
      <w:r>
        <w:rPr>
          <w:rFonts w:ascii="仿宋" w:hAnsi="仿宋" w:eastAsia="仿宋"/>
          <w:b/>
          <w:sz w:val="32"/>
          <w:szCs w:val="32"/>
        </w:rPr>
        <w:t xml:space="preserve"> </w:t>
      </w:r>
      <w:r>
        <w:rPr>
          <w:rFonts w:hint="eastAsia" w:ascii="仿宋" w:hAnsi="仿宋" w:eastAsia="仿宋"/>
          <w:b/>
          <w:sz w:val="32"/>
          <w:szCs w:val="32"/>
        </w:rPr>
        <w:t>名词解释</w:t>
      </w:r>
      <w:r>
        <w:rPr>
          <w:rFonts w:ascii="仿宋" w:hAnsi="仿宋" w:eastAsia="仿宋"/>
          <w:sz w:val="32"/>
          <w:szCs w:val="32"/>
        </w:rPr>
        <w:t xml:space="preserve"> ...............................21</w:t>
      </w:r>
    </w:p>
    <w:p>
      <w:pPr>
        <w:jc w:val="left"/>
        <w:rPr>
          <w:rFonts w:ascii="仿宋" w:hAnsi="仿宋" w:eastAsia="仿宋"/>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ascii="仿宋" w:hAnsi="仿宋" w:eastAsia="仿宋" w:cs="仿宋_GB2312"/>
          <w:sz w:val="32"/>
          <w:szCs w:val="32"/>
        </w:rPr>
        <w:t>2018</w:t>
      </w:r>
      <w:r>
        <w:rPr>
          <w:rFonts w:hint="eastAsia" w:ascii="仿宋" w:hAnsi="仿宋" w:eastAsia="仿宋"/>
          <w:b/>
          <w:sz w:val="32"/>
          <w:szCs w:val="32"/>
        </w:rPr>
        <w:t>年度部门决算表</w:t>
      </w:r>
      <w:r>
        <w:rPr>
          <w:rFonts w:ascii="仿宋" w:hAnsi="仿宋" w:eastAsia="仿宋"/>
          <w:sz w:val="32"/>
          <w:szCs w:val="32"/>
        </w:rPr>
        <w:t>........................23</w:t>
      </w:r>
    </w:p>
    <w:p>
      <w:pPr>
        <w:jc w:val="left"/>
        <w:rPr>
          <w:rFonts w:ascii="仿宋" w:hAnsi="仿宋" w:eastAsia="仿宋"/>
          <w:sz w:val="32"/>
          <w:szCs w:val="32"/>
        </w:rPr>
      </w:pPr>
      <w:r>
        <w:rPr>
          <w:rFonts w:hint="eastAsia" w:ascii="仿宋" w:hAnsi="仿宋" w:eastAsia="仿宋"/>
          <w:sz w:val="32"/>
          <w:szCs w:val="32"/>
        </w:rPr>
        <w:t>一、收入支出决算总表</w:t>
      </w:r>
      <w:r>
        <w:rPr>
          <w:rFonts w:ascii="仿宋" w:hAnsi="仿宋" w:eastAsia="仿宋"/>
          <w:sz w:val="32"/>
          <w:szCs w:val="32"/>
        </w:rPr>
        <w:t xml:space="preserve"> .............................23</w:t>
      </w:r>
    </w:p>
    <w:p>
      <w:pPr>
        <w:jc w:val="left"/>
        <w:rPr>
          <w:rFonts w:ascii="仿宋" w:hAnsi="仿宋" w:eastAsia="仿宋"/>
          <w:sz w:val="32"/>
          <w:szCs w:val="32"/>
        </w:rPr>
      </w:pPr>
      <w:r>
        <w:rPr>
          <w:rFonts w:hint="eastAsia" w:ascii="仿宋" w:hAnsi="仿宋" w:eastAsia="仿宋"/>
          <w:sz w:val="32"/>
          <w:szCs w:val="32"/>
        </w:rPr>
        <w:t>二、收入决算表</w:t>
      </w:r>
      <w:r>
        <w:rPr>
          <w:rFonts w:ascii="仿宋" w:hAnsi="仿宋" w:eastAsia="仿宋"/>
          <w:sz w:val="32"/>
          <w:szCs w:val="32"/>
        </w:rPr>
        <w:t xml:space="preserve"> ............................ ......24</w:t>
      </w:r>
    </w:p>
    <w:p>
      <w:pPr>
        <w:jc w:val="left"/>
        <w:rPr>
          <w:rFonts w:ascii="仿宋" w:hAnsi="仿宋" w:eastAsia="仿宋"/>
          <w:sz w:val="32"/>
          <w:szCs w:val="32"/>
        </w:rPr>
      </w:pPr>
      <w:r>
        <w:rPr>
          <w:rFonts w:hint="eastAsia" w:ascii="仿宋" w:hAnsi="仿宋" w:eastAsia="仿宋"/>
          <w:sz w:val="32"/>
          <w:szCs w:val="32"/>
        </w:rPr>
        <w:t>三、支出决算表</w:t>
      </w:r>
      <w:r>
        <w:rPr>
          <w:rFonts w:ascii="仿宋" w:hAnsi="仿宋" w:eastAsia="仿宋"/>
          <w:sz w:val="32"/>
          <w:szCs w:val="32"/>
        </w:rPr>
        <w:t xml:space="preserve"> ...................................25</w:t>
      </w:r>
    </w:p>
    <w:p>
      <w:pPr>
        <w:jc w:val="left"/>
        <w:rPr>
          <w:rFonts w:ascii="仿宋" w:hAnsi="仿宋" w:eastAsia="仿宋"/>
          <w:sz w:val="32"/>
          <w:szCs w:val="32"/>
        </w:rPr>
      </w:pPr>
      <w:r>
        <w:rPr>
          <w:rFonts w:hint="eastAsia" w:ascii="仿宋" w:hAnsi="仿宋" w:eastAsia="仿宋"/>
          <w:sz w:val="32"/>
          <w:szCs w:val="32"/>
        </w:rPr>
        <w:t>四、财政拨款收入支出决算总表</w:t>
      </w:r>
      <w:r>
        <w:rPr>
          <w:rFonts w:ascii="仿宋" w:hAnsi="仿宋" w:eastAsia="仿宋"/>
          <w:sz w:val="32"/>
          <w:szCs w:val="32"/>
        </w:rPr>
        <w:t xml:space="preserve"> .....................25</w:t>
      </w:r>
    </w:p>
    <w:p>
      <w:pPr>
        <w:jc w:val="left"/>
        <w:rPr>
          <w:rFonts w:ascii="仿宋" w:hAnsi="仿宋" w:eastAsia="仿宋"/>
          <w:sz w:val="32"/>
          <w:szCs w:val="32"/>
        </w:rPr>
      </w:pPr>
      <w:r>
        <w:rPr>
          <w:rFonts w:hint="eastAsia" w:ascii="仿宋" w:hAnsi="仿宋" w:eastAsia="仿宋"/>
          <w:sz w:val="32"/>
          <w:szCs w:val="32"/>
        </w:rPr>
        <w:t>五、一般公共预算财政拨款支出决算表</w:t>
      </w:r>
      <w:r>
        <w:rPr>
          <w:rFonts w:ascii="仿宋" w:hAnsi="仿宋" w:eastAsia="仿宋"/>
          <w:sz w:val="32"/>
          <w:szCs w:val="32"/>
        </w:rPr>
        <w:t xml:space="preserve"> ...............27</w:t>
      </w:r>
    </w:p>
    <w:p>
      <w:pPr>
        <w:jc w:val="left"/>
        <w:rPr>
          <w:rFonts w:ascii="仿宋" w:hAnsi="仿宋" w:eastAsia="仿宋"/>
          <w:sz w:val="32"/>
          <w:szCs w:val="32"/>
        </w:rPr>
      </w:pPr>
      <w:r>
        <w:rPr>
          <w:rFonts w:hint="eastAsia" w:ascii="仿宋" w:hAnsi="仿宋" w:eastAsia="仿宋"/>
          <w:sz w:val="32"/>
          <w:szCs w:val="32"/>
        </w:rPr>
        <w:t>六、</w:t>
      </w:r>
      <w:r>
        <w:rPr>
          <w:rFonts w:hint="eastAsia" w:ascii="仿宋" w:hAnsi="仿宋" w:eastAsia="仿宋"/>
          <w:spacing w:val="-14"/>
          <w:sz w:val="32"/>
          <w:szCs w:val="32"/>
        </w:rPr>
        <w:t>一般公共预算财政拨款支出决算明细表</w:t>
      </w:r>
      <w:r>
        <w:rPr>
          <w:rFonts w:ascii="仿宋" w:hAnsi="仿宋" w:eastAsia="仿宋"/>
          <w:sz w:val="32"/>
          <w:szCs w:val="32"/>
        </w:rPr>
        <w:t>...............27</w:t>
      </w:r>
    </w:p>
    <w:p>
      <w:pPr>
        <w:jc w:val="left"/>
        <w:rPr>
          <w:rFonts w:ascii="仿宋" w:hAnsi="仿宋" w:eastAsia="仿宋"/>
          <w:sz w:val="32"/>
          <w:szCs w:val="32"/>
        </w:rPr>
      </w:pPr>
      <w:r>
        <w:rPr>
          <w:rFonts w:hint="eastAsia" w:ascii="仿宋" w:hAnsi="仿宋" w:eastAsia="仿宋"/>
          <w:sz w:val="32"/>
          <w:szCs w:val="32"/>
        </w:rPr>
        <w:t>七、一般公共预算财政拨款基本支出决算表</w:t>
      </w:r>
      <w:r>
        <w:rPr>
          <w:rFonts w:ascii="仿宋" w:hAnsi="仿宋" w:eastAsia="仿宋"/>
          <w:sz w:val="32"/>
          <w:szCs w:val="32"/>
        </w:rPr>
        <w:t xml:space="preserve"> ...........28</w:t>
      </w:r>
    </w:p>
    <w:p>
      <w:pPr>
        <w:jc w:val="left"/>
        <w:rPr>
          <w:rFonts w:ascii="仿宋" w:hAnsi="仿宋" w:eastAsia="仿宋"/>
          <w:sz w:val="32"/>
          <w:szCs w:val="32"/>
        </w:rPr>
      </w:pPr>
      <w:r>
        <w:rPr>
          <w:rFonts w:hint="eastAsia" w:ascii="仿宋" w:hAnsi="仿宋" w:eastAsia="仿宋"/>
          <w:sz w:val="32"/>
          <w:szCs w:val="32"/>
        </w:rPr>
        <w:t>八、政府性基金预算财政拨款收入支出决算表</w:t>
      </w:r>
      <w:r>
        <w:rPr>
          <w:rFonts w:ascii="仿宋" w:hAnsi="仿宋" w:eastAsia="仿宋"/>
          <w:sz w:val="32"/>
          <w:szCs w:val="32"/>
        </w:rPr>
        <w:t>..........31</w:t>
      </w:r>
    </w:p>
    <w:p>
      <w:pPr>
        <w:jc w:val="left"/>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 xml:space="preserve"> </w:t>
      </w:r>
      <w:r>
        <w:rPr>
          <w:rFonts w:hint="eastAsia" w:ascii="仿宋" w:hAnsi="仿宋" w:eastAsia="仿宋"/>
          <w:spacing w:val="-14"/>
          <w:sz w:val="32"/>
          <w:szCs w:val="32"/>
        </w:rPr>
        <w:t>部门决算相关信息统计表</w:t>
      </w:r>
      <w:r>
        <w:rPr>
          <w:rFonts w:ascii="仿宋" w:hAnsi="仿宋" w:eastAsia="仿宋"/>
          <w:sz w:val="32"/>
          <w:szCs w:val="32"/>
        </w:rPr>
        <w:t>.........................32</w:t>
      </w:r>
    </w:p>
    <w:p>
      <w:pPr>
        <w:jc w:val="left"/>
        <w:rPr>
          <w:rFonts w:ascii="仿宋" w:hAnsi="仿宋" w:eastAsia="仿宋"/>
          <w:sz w:val="32"/>
          <w:szCs w:val="32"/>
        </w:rPr>
      </w:pPr>
      <w:r>
        <w:rPr>
          <w:rFonts w:hint="eastAsia" w:ascii="仿宋" w:hAnsi="仿宋" w:eastAsia="仿宋"/>
          <w:sz w:val="32"/>
          <w:szCs w:val="32"/>
        </w:rPr>
        <w:t>十、</w:t>
      </w:r>
      <w:r>
        <w:rPr>
          <w:rFonts w:ascii="仿宋" w:hAnsi="仿宋" w:eastAsia="仿宋"/>
          <w:sz w:val="32"/>
          <w:szCs w:val="32"/>
        </w:rPr>
        <w:t xml:space="preserve"> </w:t>
      </w:r>
      <w:r>
        <w:rPr>
          <w:rFonts w:hint="eastAsia" w:ascii="仿宋" w:hAnsi="仿宋" w:eastAsia="仿宋"/>
          <w:spacing w:val="-14"/>
          <w:sz w:val="32"/>
          <w:szCs w:val="32"/>
        </w:rPr>
        <w:t>政府采购情况表</w:t>
      </w:r>
      <w:r>
        <w:rPr>
          <w:rFonts w:ascii="仿宋" w:hAnsi="仿宋" w:eastAsia="仿宋"/>
          <w:sz w:val="32"/>
          <w:szCs w:val="32"/>
        </w:rPr>
        <w:t>................................33</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第一部分</w:t>
      </w:r>
      <w:r>
        <w:rPr>
          <w:rFonts w:ascii="黑体" w:hAnsi="黑体" w:eastAsia="黑体"/>
          <w:sz w:val="36"/>
          <w:szCs w:val="36"/>
        </w:rPr>
        <w:t xml:space="preserve"> </w:t>
      </w:r>
      <w:r>
        <w:rPr>
          <w:rFonts w:hint="eastAsia" w:ascii="黑体" w:hAnsi="黑体" w:eastAsia="黑体"/>
          <w:sz w:val="36"/>
          <w:szCs w:val="36"/>
        </w:rPr>
        <w:t>部门概况</w:t>
      </w:r>
    </w:p>
    <w:p>
      <w:pPr>
        <w:jc w:val="center"/>
        <w:rPr>
          <w:rFonts w:ascii="黑体" w:hAnsi="黑体" w:eastAsia="黑体"/>
          <w:sz w:val="36"/>
          <w:szCs w:val="36"/>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一、部门主要职责</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根据《上杭县委机构编制委员会关于印发《中共上杭县委党校职能配置、内设机构和人员编制方案的通知》（杭编</w:t>
      </w:r>
      <w:r>
        <w:rPr>
          <w:rFonts w:ascii="仿宋" w:hAnsi="仿宋" w:eastAsia="仿宋" w:cs="仿宋_GB2312"/>
          <w:sz w:val="32"/>
          <w:szCs w:val="32"/>
        </w:rPr>
        <w:t>[2008]17</w:t>
      </w:r>
      <w:r>
        <w:rPr>
          <w:rFonts w:hint="eastAsia" w:ascii="仿宋" w:hAnsi="仿宋" w:eastAsia="仿宋" w:cs="仿宋_GB2312"/>
          <w:sz w:val="32"/>
          <w:szCs w:val="32"/>
        </w:rPr>
        <w:t>号，我单位的主要职责是：</w:t>
      </w:r>
      <w:r>
        <w:rPr>
          <w:rFonts w:ascii="仿宋" w:hAnsi="仿宋" w:eastAsia="仿宋" w:cs="仿宋_GB2312"/>
          <w:sz w:val="32"/>
          <w:szCs w:val="32"/>
        </w:rPr>
        <w:t> </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、围绕培训轮训党员领导干部和理论骨干这一中心任务，进行教学活动。</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、针对改革开放和社会主义现代化进程中的重大理论和现实问题，开展马克思主义中国化最新成果和理论宣传，开展党的路线、方针、政策的宣传。</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、针对新的实际，紧密围绕县委、县政府的重要工作部署，以党的理论创新为重点开展科学研究。</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、对学员在校期间表现进行考核，为使用提供依据。</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、负责对乡镇基层党校进行业务指导。</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、完成县委交办的其他工作。</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二、部门决算单位基本情况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从决算单位构成看，</w:t>
      </w:r>
      <w:r>
        <w:rPr>
          <w:rFonts w:hint="eastAsia" w:ascii="仿宋" w:hAnsi="仿宋" w:eastAsia="仿宋" w:cs="宋体"/>
          <w:color w:val="000000"/>
          <w:kern w:val="0"/>
          <w:sz w:val="32"/>
          <w:szCs w:val="32"/>
        </w:rPr>
        <w:t>中共上杭县委党校部门包括</w:t>
      </w: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个机关行政股室</w:t>
      </w:r>
      <w:r>
        <w:rPr>
          <w:rFonts w:hint="eastAsia" w:ascii="仿宋" w:hAnsi="仿宋" w:eastAsia="仿宋"/>
          <w:sz w:val="32"/>
          <w:szCs w:val="32"/>
        </w:rPr>
        <w:t>，其中：列入</w:t>
      </w:r>
      <w:r>
        <w:rPr>
          <w:rFonts w:ascii="仿宋" w:hAnsi="仿宋" w:eastAsia="仿宋" w:cs="仿宋_GB2312"/>
          <w:sz w:val="32"/>
          <w:szCs w:val="32"/>
        </w:rPr>
        <w:t>2018</w:t>
      </w:r>
      <w:r>
        <w:rPr>
          <w:rFonts w:hint="eastAsia" w:ascii="仿宋" w:hAnsi="仿宋" w:eastAsia="仿宋"/>
          <w:sz w:val="32"/>
          <w:szCs w:val="32"/>
        </w:rPr>
        <w:t>年部门决算编制范围的单位详细情况见下表</w:t>
      </w:r>
      <w:r>
        <w:rPr>
          <w:rFonts w:ascii="仿宋" w:hAnsi="仿宋" w:eastAsia="仿宋"/>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4"/>
        <w:gridCol w:w="1559"/>
        <w:gridCol w:w="1843"/>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564" w:type="dxa"/>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单位名称</w:t>
            </w:r>
          </w:p>
        </w:tc>
        <w:tc>
          <w:tcPr>
            <w:tcW w:w="1559" w:type="dxa"/>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经费性质</w:t>
            </w:r>
          </w:p>
        </w:tc>
        <w:tc>
          <w:tcPr>
            <w:tcW w:w="1843" w:type="dxa"/>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人员编制数</w:t>
            </w:r>
          </w:p>
        </w:tc>
        <w:tc>
          <w:tcPr>
            <w:tcW w:w="2080" w:type="dxa"/>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564" w:type="dxa"/>
          </w:tcPr>
          <w:p>
            <w:pPr>
              <w:widowControl/>
              <w:spacing w:line="600" w:lineRule="atLeast"/>
              <w:jc w:val="left"/>
              <w:rPr>
                <w:rFonts w:ascii="宋体" w:cs="宋体"/>
                <w:kern w:val="0"/>
                <w:sz w:val="28"/>
                <w:szCs w:val="28"/>
              </w:rPr>
            </w:pPr>
            <w:r>
              <w:rPr>
                <w:rFonts w:hint="eastAsia" w:ascii="仿宋" w:hAnsi="仿宋" w:eastAsia="仿宋" w:cs="宋体"/>
                <w:kern w:val="0"/>
                <w:sz w:val="28"/>
                <w:szCs w:val="28"/>
              </w:rPr>
              <w:t>中</w:t>
            </w:r>
            <w:r>
              <w:rPr>
                <w:rFonts w:hint="eastAsia" w:ascii="仿宋" w:hAnsi="仿宋" w:eastAsia="仿宋" w:cs="宋体"/>
                <w:kern w:val="0"/>
                <w:sz w:val="28"/>
                <w:szCs w:val="28"/>
                <w:lang w:eastAsia="zh-CN"/>
              </w:rPr>
              <w:t>国共产党</w:t>
            </w:r>
            <w:r>
              <w:rPr>
                <w:rFonts w:hint="eastAsia" w:ascii="仿宋" w:hAnsi="仿宋" w:eastAsia="仿宋" w:cs="宋体"/>
                <w:kern w:val="0"/>
                <w:sz w:val="28"/>
                <w:szCs w:val="28"/>
              </w:rPr>
              <w:t>上杭县委</w:t>
            </w:r>
            <w:r>
              <w:rPr>
                <w:rFonts w:hint="eastAsia" w:ascii="仿宋" w:hAnsi="仿宋" w:eastAsia="仿宋" w:cs="宋体"/>
                <w:kern w:val="0"/>
                <w:sz w:val="28"/>
                <w:szCs w:val="28"/>
                <w:lang w:eastAsia="zh-CN"/>
              </w:rPr>
              <w:t>员会</w:t>
            </w:r>
            <w:r>
              <w:rPr>
                <w:rFonts w:hint="eastAsia" w:ascii="仿宋" w:hAnsi="仿宋" w:eastAsia="仿宋" w:cs="宋体"/>
                <w:kern w:val="0"/>
                <w:sz w:val="28"/>
                <w:szCs w:val="28"/>
              </w:rPr>
              <w:t>党校</w:t>
            </w:r>
          </w:p>
        </w:tc>
        <w:tc>
          <w:tcPr>
            <w:tcW w:w="1559" w:type="dxa"/>
          </w:tcPr>
          <w:p>
            <w:pPr>
              <w:widowControl/>
              <w:spacing w:line="600" w:lineRule="atLeast"/>
              <w:jc w:val="left"/>
              <w:rPr>
                <w:rFonts w:hint="eastAsia" w:ascii="宋体" w:eastAsia="宋体" w:cs="宋体"/>
                <w:b w:val="0"/>
                <w:bCs w:val="0"/>
                <w:kern w:val="0"/>
                <w:sz w:val="28"/>
                <w:szCs w:val="28"/>
                <w:lang w:eastAsia="zh-CN"/>
              </w:rPr>
            </w:pPr>
            <w:r>
              <w:rPr>
                <w:rFonts w:hint="eastAsia" w:ascii="仿宋" w:hAnsi="仿宋" w:eastAsia="仿宋" w:cs="宋体"/>
                <w:b w:val="0"/>
                <w:bCs w:val="0"/>
                <w:kern w:val="0"/>
                <w:sz w:val="28"/>
                <w:szCs w:val="28"/>
                <w:lang w:eastAsia="zh-CN"/>
              </w:rPr>
              <w:t>事业参公</w:t>
            </w:r>
          </w:p>
        </w:tc>
        <w:tc>
          <w:tcPr>
            <w:tcW w:w="1843" w:type="dxa"/>
          </w:tcPr>
          <w:p>
            <w:pPr>
              <w:widowControl/>
              <w:spacing w:line="600" w:lineRule="atLeast"/>
              <w:jc w:val="left"/>
              <w:rPr>
                <w:rFonts w:ascii="宋体" w:cs="宋体"/>
                <w:b w:val="0"/>
                <w:bCs w:val="0"/>
                <w:kern w:val="0"/>
                <w:sz w:val="28"/>
                <w:szCs w:val="28"/>
              </w:rPr>
            </w:pPr>
            <w:r>
              <w:rPr>
                <w:rFonts w:hint="default" w:ascii="仿宋" w:hAnsi="仿宋" w:eastAsia="仿宋" w:cs="宋体"/>
                <w:b w:val="0"/>
                <w:bCs w:val="0"/>
                <w:kern w:val="0"/>
                <w:sz w:val="28"/>
                <w:szCs w:val="28"/>
                <w:lang w:val="en-US"/>
              </w:rPr>
              <w:t>9</w:t>
            </w:r>
          </w:p>
        </w:tc>
        <w:tc>
          <w:tcPr>
            <w:tcW w:w="2080" w:type="dxa"/>
          </w:tcPr>
          <w:p>
            <w:pPr>
              <w:widowControl/>
              <w:spacing w:line="600" w:lineRule="atLeast"/>
              <w:jc w:val="left"/>
              <w:rPr>
                <w:rFonts w:ascii="宋体" w:cs="宋体"/>
                <w:b w:val="0"/>
                <w:bCs w:val="0"/>
                <w:kern w:val="0"/>
                <w:sz w:val="28"/>
                <w:szCs w:val="28"/>
              </w:rPr>
            </w:pPr>
            <w:r>
              <w:rPr>
                <w:rFonts w:hint="default" w:ascii="仿宋" w:hAnsi="仿宋" w:eastAsia="仿宋" w:cs="宋体"/>
                <w:b w:val="0"/>
                <w:bCs w:val="0"/>
                <w:kern w:val="0"/>
                <w:sz w:val="28"/>
                <w:szCs w:val="28"/>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564" w:type="dxa"/>
          </w:tcPr>
          <w:p>
            <w:pPr>
              <w:tabs>
                <w:tab w:val="left" w:pos="7513"/>
              </w:tabs>
              <w:adjustRightInd w:val="0"/>
              <w:snapToGrid w:val="0"/>
              <w:spacing w:line="600" w:lineRule="exact"/>
              <w:rPr>
                <w:rFonts w:ascii="仿宋" w:hAnsi="仿宋" w:eastAsia="仿宋"/>
                <w:b/>
                <w:bCs/>
                <w:sz w:val="32"/>
                <w:szCs w:val="32"/>
              </w:rPr>
            </w:pPr>
            <w:r>
              <w:rPr>
                <w:rFonts w:hint="eastAsia" w:ascii="仿宋" w:hAnsi="仿宋" w:eastAsia="仿宋" w:cs="宋体"/>
                <w:kern w:val="0"/>
                <w:sz w:val="28"/>
                <w:szCs w:val="28"/>
              </w:rPr>
              <w:t>中</w:t>
            </w:r>
            <w:r>
              <w:rPr>
                <w:rFonts w:hint="eastAsia" w:ascii="仿宋" w:hAnsi="仿宋" w:eastAsia="仿宋" w:cs="宋体"/>
                <w:kern w:val="0"/>
                <w:sz w:val="28"/>
                <w:szCs w:val="28"/>
                <w:lang w:eastAsia="zh-CN"/>
              </w:rPr>
              <w:t>国共产党</w:t>
            </w:r>
            <w:r>
              <w:rPr>
                <w:rFonts w:hint="eastAsia" w:ascii="仿宋" w:hAnsi="仿宋" w:eastAsia="仿宋" w:cs="宋体"/>
                <w:kern w:val="0"/>
                <w:sz w:val="28"/>
                <w:szCs w:val="28"/>
              </w:rPr>
              <w:t>上杭县委</w:t>
            </w:r>
            <w:r>
              <w:rPr>
                <w:rFonts w:hint="eastAsia" w:ascii="仿宋" w:hAnsi="仿宋" w:eastAsia="仿宋" w:cs="宋体"/>
                <w:kern w:val="0"/>
                <w:sz w:val="28"/>
                <w:szCs w:val="28"/>
                <w:lang w:eastAsia="zh-CN"/>
              </w:rPr>
              <w:t>员会</w:t>
            </w:r>
            <w:r>
              <w:rPr>
                <w:rFonts w:hint="eastAsia" w:ascii="仿宋" w:hAnsi="仿宋" w:eastAsia="仿宋" w:cs="宋体"/>
                <w:kern w:val="0"/>
                <w:sz w:val="28"/>
                <w:szCs w:val="28"/>
              </w:rPr>
              <w:t>党校</w:t>
            </w:r>
          </w:p>
        </w:tc>
        <w:tc>
          <w:tcPr>
            <w:tcW w:w="1559" w:type="dxa"/>
          </w:tcPr>
          <w:p>
            <w:pPr>
              <w:tabs>
                <w:tab w:val="left" w:pos="7513"/>
              </w:tabs>
              <w:adjustRightInd w:val="0"/>
              <w:snapToGrid w:val="0"/>
              <w:spacing w:line="600" w:lineRule="exact"/>
              <w:rPr>
                <w:rFonts w:hint="eastAsia" w:ascii="仿宋" w:hAnsi="仿宋" w:eastAsia="仿宋"/>
                <w:b w:val="0"/>
                <w:bCs w:val="0"/>
                <w:sz w:val="32"/>
                <w:szCs w:val="32"/>
                <w:lang w:eastAsia="zh-CN"/>
              </w:rPr>
            </w:pPr>
            <w:r>
              <w:rPr>
                <w:rFonts w:hint="eastAsia" w:ascii="仿宋" w:hAnsi="仿宋" w:eastAsia="仿宋"/>
                <w:b w:val="0"/>
                <w:bCs w:val="0"/>
                <w:sz w:val="32"/>
                <w:szCs w:val="32"/>
                <w:lang w:eastAsia="zh-CN"/>
              </w:rPr>
              <w:t>事业</w:t>
            </w:r>
          </w:p>
        </w:tc>
        <w:tc>
          <w:tcPr>
            <w:tcW w:w="1843" w:type="dxa"/>
          </w:tcPr>
          <w:p>
            <w:pPr>
              <w:tabs>
                <w:tab w:val="left" w:pos="7513"/>
              </w:tabs>
              <w:adjustRightInd w:val="0"/>
              <w:snapToGrid w:val="0"/>
              <w:spacing w:line="600" w:lineRule="exact"/>
              <w:rPr>
                <w:rFonts w:hint="default" w:ascii="仿宋" w:hAnsi="仿宋" w:eastAsia="仿宋"/>
                <w:b w:val="0"/>
                <w:bCs w:val="0"/>
                <w:sz w:val="32"/>
                <w:szCs w:val="32"/>
                <w:lang w:val="en-US"/>
              </w:rPr>
            </w:pPr>
            <w:r>
              <w:rPr>
                <w:rFonts w:hint="default" w:ascii="仿宋" w:hAnsi="仿宋" w:eastAsia="仿宋"/>
                <w:b w:val="0"/>
                <w:bCs w:val="0"/>
                <w:sz w:val="32"/>
                <w:szCs w:val="32"/>
                <w:lang w:val="en-US"/>
              </w:rPr>
              <w:t>22</w:t>
            </w:r>
          </w:p>
        </w:tc>
        <w:tc>
          <w:tcPr>
            <w:tcW w:w="2080" w:type="dxa"/>
          </w:tcPr>
          <w:p>
            <w:pPr>
              <w:tabs>
                <w:tab w:val="left" w:pos="7513"/>
              </w:tabs>
              <w:adjustRightInd w:val="0"/>
              <w:snapToGrid w:val="0"/>
              <w:spacing w:line="600" w:lineRule="exact"/>
              <w:rPr>
                <w:rFonts w:hint="default" w:ascii="仿宋" w:hAnsi="仿宋" w:eastAsia="仿宋"/>
                <w:b w:val="0"/>
                <w:bCs w:val="0"/>
                <w:sz w:val="32"/>
                <w:szCs w:val="32"/>
                <w:lang w:val="en-US"/>
              </w:rPr>
            </w:pPr>
            <w:r>
              <w:rPr>
                <w:rFonts w:hint="default" w:ascii="仿宋" w:hAnsi="仿宋" w:eastAsia="仿宋"/>
                <w:b w:val="0"/>
                <w:bCs w:val="0"/>
                <w:sz w:val="32"/>
                <w:szCs w:val="32"/>
                <w:lang w:val="en-US"/>
              </w:rPr>
              <w:t>21</w:t>
            </w:r>
          </w:p>
        </w:tc>
      </w:tr>
    </w:tbl>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三、部门主要工作总结</w:t>
      </w:r>
      <w:bookmarkStart w:id="0" w:name="_GoBack"/>
      <w:bookmarkEnd w:id="0"/>
    </w:p>
    <w:p>
      <w:pPr>
        <w:spacing w:line="560" w:lineRule="exact"/>
        <w:ind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上杭县委党校在县委县政府的正确领导和上级党校的精心指导下，认真贯彻落实习近平新时代中国特色社会主义思想和党的十九大精神，深入贯彻落实习近平总书记关于做好党校工作的重要论述，深入贯彻落实全省党校工作会议精神，树牢“四个意识”，坚定“四个自信”，坚决做到“两个维护”，坚持党校姓党，在教学、科研、外培等方面均取得良性发展，在加强干部培训、参与资政服务、拓展对外交流、推动红色培训等方面发挥了重要作用。</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一、强化党建工作引领</w:t>
      </w:r>
    </w:p>
    <w:p>
      <w:pPr>
        <w:spacing w:line="56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重视抓好理论学习。</w:t>
      </w:r>
      <w:r>
        <w:rPr>
          <w:rFonts w:hint="eastAsia" w:ascii="仿宋" w:hAnsi="仿宋" w:eastAsia="仿宋"/>
          <w:sz w:val="32"/>
          <w:szCs w:val="32"/>
        </w:rPr>
        <w:t>把习近平新时代中国特色社会主义思想和党的十九大精神作为“三会一课”重要学习内容，要求每位党员做笔记、写心得、谈体会，力求学全、学深、学懂、悟透。</w:t>
      </w:r>
      <w:r>
        <w:rPr>
          <w:rFonts w:ascii="仿宋" w:hAnsi="仿宋" w:eastAsia="仿宋"/>
          <w:sz w:val="32"/>
          <w:szCs w:val="32"/>
        </w:rPr>
        <w:t>2018</w:t>
      </w:r>
      <w:r>
        <w:rPr>
          <w:rFonts w:hint="eastAsia" w:ascii="仿宋" w:hAnsi="仿宋" w:eastAsia="仿宋"/>
          <w:sz w:val="32"/>
          <w:szCs w:val="32"/>
        </w:rPr>
        <w:t>年共召开学习会</w:t>
      </w:r>
      <w:r>
        <w:rPr>
          <w:rFonts w:ascii="仿宋" w:hAnsi="仿宋" w:eastAsia="仿宋"/>
          <w:sz w:val="32"/>
          <w:szCs w:val="32"/>
        </w:rPr>
        <w:t>12</w:t>
      </w:r>
      <w:r>
        <w:rPr>
          <w:rFonts w:hint="eastAsia" w:ascii="仿宋" w:hAnsi="仿宋" w:eastAsia="仿宋"/>
          <w:sz w:val="32"/>
          <w:szCs w:val="32"/>
        </w:rPr>
        <w:t>场、开党课</w:t>
      </w:r>
      <w:r>
        <w:rPr>
          <w:rFonts w:ascii="仿宋" w:hAnsi="仿宋" w:eastAsia="仿宋"/>
          <w:sz w:val="32"/>
          <w:szCs w:val="32"/>
        </w:rPr>
        <w:t>4</w:t>
      </w:r>
      <w:r>
        <w:rPr>
          <w:rFonts w:hint="eastAsia" w:ascii="仿宋" w:hAnsi="仿宋" w:eastAsia="仿宋"/>
          <w:sz w:val="32"/>
          <w:szCs w:val="32"/>
        </w:rPr>
        <w:t>节；开设“不忘初心，牢记使命，争做时代楷模”十九大精神导学、《党章》部分内容、</w:t>
      </w:r>
      <w:r>
        <w:rPr>
          <w:rFonts w:ascii="仿宋" w:hAnsi="仿宋" w:eastAsia="仿宋"/>
          <w:sz w:val="32"/>
          <w:szCs w:val="32"/>
        </w:rPr>
        <w:t>2018</w:t>
      </w:r>
      <w:r>
        <w:rPr>
          <w:rFonts w:hint="eastAsia" w:ascii="仿宋" w:hAnsi="仿宋" w:eastAsia="仿宋"/>
          <w:sz w:val="32"/>
          <w:szCs w:val="32"/>
        </w:rPr>
        <w:t>年两会精神、坚持正确舆论导向，营造风清气正的网络空间等主题课程。</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17</w:t>
      </w:r>
      <w:r>
        <w:rPr>
          <w:rFonts w:hint="eastAsia" w:ascii="仿宋" w:hAnsi="仿宋" w:eastAsia="仿宋"/>
          <w:sz w:val="32"/>
          <w:szCs w:val="32"/>
        </w:rPr>
        <w:t>日，组织召开“不忘初心，牢记使命，争做新时代楷模”为主题的学习讨论会，与会人员围绕主题，交流了学习心得。常务副校长、支部书记李兰香为全体党员作了题为《学习领会习近平关于坚持党对一切工作的领导重要思想》的党课，全校教职工和学员进一步树立“四个意识”，坚定“四个自信”。</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推进“两学一做”学习教育常态化制度化</w:t>
      </w:r>
      <w:r>
        <w:rPr>
          <w:rFonts w:hint="eastAsia" w:ascii="仿宋" w:hAnsi="仿宋" w:eastAsia="仿宋" w:cs="仿宋"/>
          <w:sz w:val="32"/>
          <w:szCs w:val="32"/>
        </w:rPr>
        <w:t>。</w:t>
      </w:r>
      <w:r>
        <w:rPr>
          <w:rFonts w:hint="eastAsia" w:ascii="仿宋" w:hAnsi="仿宋" w:eastAsia="仿宋"/>
          <w:sz w:val="32"/>
          <w:szCs w:val="32"/>
        </w:rPr>
        <w:t>推进“两学一做”学习教育常态化制度化，具体做好以下工作：一是组织全体党员认真学习习近平新时代中国特色社会主义思想、党的十九大精神和《党章》。</w:t>
      </w:r>
      <w:r>
        <w:rPr>
          <w:rFonts w:hint="eastAsia" w:ascii="仿宋" w:hAnsi="仿宋" w:eastAsia="仿宋" w:cs="宋体"/>
          <w:color w:val="000000"/>
          <w:kern w:val="0"/>
          <w:sz w:val="32"/>
          <w:szCs w:val="32"/>
        </w:rPr>
        <w:t>二是强化学习研讨。</w:t>
      </w:r>
      <w:r>
        <w:rPr>
          <w:rFonts w:hint="eastAsia" w:ascii="仿宋" w:hAnsi="仿宋" w:eastAsia="仿宋"/>
          <w:sz w:val="32"/>
          <w:szCs w:val="32"/>
        </w:rPr>
        <w:t>除了个人学习，还开展集中学习研讨，交流学习心得。</w:t>
      </w:r>
    </w:p>
    <w:p>
      <w:pPr>
        <w:spacing w:line="560" w:lineRule="exact"/>
        <w:ind w:firstLine="640" w:firstLineChars="200"/>
        <w:rPr>
          <w:rFonts w:ascii="仿宋" w:hAnsi="仿宋" w:eastAsia="仿宋"/>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加强党支部班子建设。</w:t>
      </w:r>
      <w:r>
        <w:rPr>
          <w:rFonts w:ascii="仿宋" w:hAnsi="仿宋" w:eastAsia="仿宋"/>
          <w:sz w:val="32"/>
          <w:szCs w:val="32"/>
        </w:rPr>
        <w:t>3</w:t>
      </w:r>
      <w:r>
        <w:rPr>
          <w:rFonts w:hint="eastAsia" w:ascii="仿宋" w:hAnsi="仿宋" w:eastAsia="仿宋"/>
          <w:sz w:val="32"/>
          <w:szCs w:val="32"/>
        </w:rPr>
        <w:t>月份完成校党支部委员会换届工作，常务副校长李兰香当选为校党支部书记，完成党政一肩挑的任务。</w:t>
      </w:r>
    </w:p>
    <w:p>
      <w:pPr>
        <w:spacing w:line="560" w:lineRule="exact"/>
        <w:ind w:firstLine="640" w:firstLineChars="200"/>
        <w:rPr>
          <w:rFonts w:ascii="仿宋" w:hAnsi="仿宋" w:eastAsia="仿宋"/>
          <w:sz w:val="32"/>
          <w:szCs w:val="32"/>
        </w:rPr>
      </w:pP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．严格把好发展党员工作的各个环节。</w:t>
      </w:r>
      <w:r>
        <w:rPr>
          <w:rFonts w:hint="eastAsia" w:ascii="仿宋" w:hAnsi="仿宋" w:eastAsia="仿宋"/>
          <w:sz w:val="32"/>
          <w:szCs w:val="32"/>
        </w:rPr>
        <w:t>严格履行入党手续，把握发展党员工作中培训、政审、考察、审批、转正等各个环节。</w:t>
      </w:r>
      <w:r>
        <w:rPr>
          <w:rFonts w:ascii="仿宋" w:hAnsi="仿宋" w:eastAsia="仿宋"/>
          <w:sz w:val="32"/>
          <w:szCs w:val="32"/>
        </w:rPr>
        <w:t>2018</w:t>
      </w:r>
      <w:r>
        <w:rPr>
          <w:rFonts w:hint="eastAsia" w:ascii="仿宋" w:hAnsi="仿宋" w:eastAsia="仿宋"/>
          <w:sz w:val="32"/>
          <w:szCs w:val="32"/>
        </w:rPr>
        <w:t>年我校有一名预备党员转为正式党员。</w:t>
      </w:r>
    </w:p>
    <w:p>
      <w:pPr>
        <w:spacing w:line="560" w:lineRule="exact"/>
        <w:ind w:firstLine="640" w:firstLineChars="200"/>
        <w:rPr>
          <w:rFonts w:ascii="仿宋" w:hAnsi="仿宋" w:eastAsia="仿宋"/>
          <w:sz w:val="32"/>
          <w:szCs w:val="32"/>
        </w:rPr>
      </w:pP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加强对党员教育管理。</w:t>
      </w:r>
      <w:r>
        <w:rPr>
          <w:rFonts w:hint="eastAsia" w:ascii="仿宋" w:hAnsi="仿宋" w:eastAsia="仿宋"/>
          <w:sz w:val="32"/>
          <w:szCs w:val="32"/>
        </w:rPr>
        <w:t>组织党员参加组织生活，自觉接受党组织和党员的监督，认真开好民主生活会、组织生活会，开展党员民主评议，做到会前广泛听取意见、深入谈心交心，会上要认真查摆问题、深刻剖析根源、明确整改方向，会后逐一进行整改落实。开展了“学习贯彻新思想，新时代体现新担当新作为”专题组织生活会，会前有学习，会上有批评与自我批评，会后有整改。此外，</w:t>
      </w:r>
      <w:r>
        <w:rPr>
          <w:rFonts w:hint="eastAsia" w:ascii="仿宋" w:hAnsi="仿宋" w:eastAsia="仿宋" w:cs="宋体"/>
          <w:color w:val="000000"/>
          <w:kern w:val="0"/>
          <w:sz w:val="32"/>
          <w:szCs w:val="32"/>
        </w:rPr>
        <w:t>认真做好党费收缴工作，完成上级党组织交给的任务。</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积极参与</w:t>
      </w:r>
      <w:r>
        <w:rPr>
          <w:rFonts w:ascii="仿宋" w:hAnsi="仿宋" w:eastAsia="仿宋"/>
          <w:sz w:val="32"/>
          <w:szCs w:val="32"/>
        </w:rPr>
        <w:t>"</w:t>
      </w:r>
      <w:r>
        <w:rPr>
          <w:rFonts w:hint="eastAsia" w:ascii="仿宋" w:hAnsi="仿宋" w:eastAsia="仿宋"/>
          <w:sz w:val="32"/>
          <w:szCs w:val="32"/>
        </w:rPr>
        <w:t>兼合式”大党委在职党员进社区活动。同镇中居委会建立共建关系，主动参与社区服务</w:t>
      </w:r>
      <w:r>
        <w:rPr>
          <w:rFonts w:ascii="仿宋" w:hAnsi="仿宋" w:eastAsia="仿宋"/>
          <w:sz w:val="32"/>
          <w:szCs w:val="32"/>
        </w:rPr>
        <w:t>4</w:t>
      </w:r>
      <w:r>
        <w:rPr>
          <w:rFonts w:hint="eastAsia" w:ascii="仿宋" w:hAnsi="仿宋" w:eastAsia="仿宋"/>
          <w:sz w:val="32"/>
          <w:szCs w:val="32"/>
        </w:rPr>
        <w:t>次</w:t>
      </w:r>
      <w:r>
        <w:rPr>
          <w:rFonts w:ascii="仿宋" w:hAnsi="仿宋" w:eastAsia="仿宋"/>
          <w:sz w:val="32"/>
          <w:szCs w:val="32"/>
        </w:rPr>
        <w:t xml:space="preserve"> </w:t>
      </w:r>
      <w:r>
        <w:rPr>
          <w:rFonts w:hint="eastAsia" w:ascii="仿宋" w:hAnsi="仿宋" w:eastAsia="仿宋"/>
          <w:sz w:val="32"/>
          <w:szCs w:val="32"/>
        </w:rPr>
        <w:t>，参加活动</w:t>
      </w:r>
      <w:r>
        <w:rPr>
          <w:rFonts w:ascii="仿宋" w:hAnsi="仿宋" w:eastAsia="仿宋"/>
          <w:sz w:val="32"/>
          <w:szCs w:val="32"/>
        </w:rPr>
        <w:t>80</w:t>
      </w:r>
      <w:r>
        <w:rPr>
          <w:rFonts w:hint="eastAsia" w:ascii="仿宋" w:hAnsi="仿宋" w:eastAsia="仿宋"/>
          <w:sz w:val="32"/>
          <w:szCs w:val="32"/>
        </w:rPr>
        <w:t>多人次；每个党员每年进社区服务</w:t>
      </w:r>
      <w:r>
        <w:rPr>
          <w:rFonts w:ascii="仿宋" w:hAnsi="仿宋" w:eastAsia="仿宋"/>
          <w:sz w:val="32"/>
          <w:szCs w:val="32"/>
        </w:rPr>
        <w:t>4</w:t>
      </w:r>
      <w:r>
        <w:rPr>
          <w:rFonts w:hint="eastAsia" w:ascii="仿宋" w:hAnsi="仿宋" w:eastAsia="仿宋"/>
          <w:sz w:val="32"/>
          <w:szCs w:val="32"/>
        </w:rPr>
        <w:t>次，共</w:t>
      </w:r>
      <w:r>
        <w:rPr>
          <w:rFonts w:ascii="仿宋" w:hAnsi="仿宋" w:eastAsia="仿宋"/>
          <w:sz w:val="32"/>
          <w:szCs w:val="32"/>
        </w:rPr>
        <w:t>80</w:t>
      </w:r>
      <w:r>
        <w:rPr>
          <w:rFonts w:hint="eastAsia" w:ascii="仿宋" w:hAnsi="仿宋" w:eastAsia="仿宋"/>
          <w:sz w:val="32"/>
          <w:szCs w:val="32"/>
        </w:rPr>
        <w:t>多人次。今年，分别于</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日到镇中居委会入户宣传扫黑除恶应知应会知识；</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22</w:t>
      </w:r>
      <w:r>
        <w:rPr>
          <w:rFonts w:hint="eastAsia" w:ascii="仿宋" w:hAnsi="仿宋" w:eastAsia="仿宋"/>
          <w:sz w:val="32"/>
          <w:szCs w:val="32"/>
        </w:rPr>
        <w:t>日参加社区精神文明共建活动，</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日参加创建文明城市共建活动入户宣传及环境卫生整治工作。</w:t>
      </w:r>
    </w:p>
    <w:p>
      <w:pPr>
        <w:spacing w:line="560" w:lineRule="exact"/>
        <w:ind w:firstLine="645"/>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干部驻村帮扶出成效。我校</w:t>
      </w:r>
      <w:r>
        <w:rPr>
          <w:rFonts w:ascii="仿宋" w:hAnsi="仿宋" w:eastAsia="仿宋"/>
          <w:sz w:val="32"/>
          <w:szCs w:val="32"/>
        </w:rPr>
        <w:t>27</w:t>
      </w:r>
      <w:r>
        <w:rPr>
          <w:rFonts w:hint="eastAsia" w:ascii="仿宋" w:hAnsi="仿宋" w:eastAsia="仿宋"/>
          <w:sz w:val="32"/>
          <w:szCs w:val="32"/>
        </w:rPr>
        <w:t>名教职工深入我县湖洋镇</w:t>
      </w:r>
      <w:r>
        <w:rPr>
          <w:rFonts w:ascii="仿宋" w:hAnsi="仿宋" w:eastAsia="仿宋"/>
          <w:sz w:val="32"/>
          <w:szCs w:val="32"/>
        </w:rPr>
        <w:t>6</w:t>
      </w:r>
      <w:r>
        <w:rPr>
          <w:rFonts w:hint="eastAsia" w:ascii="仿宋" w:hAnsi="仿宋" w:eastAsia="仿宋"/>
          <w:sz w:val="32"/>
          <w:szCs w:val="32"/>
        </w:rPr>
        <w:t>个行政村与</w:t>
      </w:r>
      <w:r>
        <w:rPr>
          <w:rFonts w:ascii="仿宋" w:hAnsi="仿宋" w:eastAsia="仿宋"/>
          <w:sz w:val="32"/>
          <w:szCs w:val="32"/>
        </w:rPr>
        <w:t>33</w:t>
      </w:r>
      <w:r>
        <w:rPr>
          <w:rFonts w:hint="eastAsia" w:ascii="仿宋" w:hAnsi="仿宋" w:eastAsia="仿宋"/>
          <w:sz w:val="32"/>
          <w:szCs w:val="32"/>
        </w:rPr>
        <w:t>户贫困户开展结对帮扶。选派驻村第一支书</w:t>
      </w:r>
      <w:r>
        <w:rPr>
          <w:rFonts w:ascii="仿宋" w:hAnsi="仿宋" w:eastAsia="仿宋"/>
          <w:sz w:val="32"/>
          <w:szCs w:val="32"/>
        </w:rPr>
        <w:t>1</w:t>
      </w:r>
      <w:r>
        <w:rPr>
          <w:rFonts w:hint="eastAsia" w:ascii="仿宋" w:hAnsi="仿宋" w:eastAsia="仿宋"/>
          <w:sz w:val="32"/>
          <w:szCs w:val="32"/>
        </w:rPr>
        <w:t>人、驻村蹲点</w:t>
      </w:r>
      <w:r>
        <w:rPr>
          <w:rFonts w:ascii="仿宋" w:hAnsi="仿宋" w:eastAsia="仿宋"/>
          <w:sz w:val="32"/>
          <w:szCs w:val="32"/>
        </w:rPr>
        <w:t>1</w:t>
      </w:r>
      <w:r>
        <w:rPr>
          <w:rFonts w:hint="eastAsia" w:ascii="仿宋" w:hAnsi="仿宋" w:eastAsia="仿宋"/>
          <w:sz w:val="32"/>
          <w:szCs w:val="32"/>
        </w:rPr>
        <w:t>人，抽调参与重点项目</w:t>
      </w:r>
      <w:r>
        <w:rPr>
          <w:rFonts w:ascii="仿宋" w:hAnsi="仿宋" w:eastAsia="仿宋"/>
          <w:sz w:val="32"/>
          <w:szCs w:val="32"/>
        </w:rPr>
        <w:t>4</w:t>
      </w:r>
      <w:r>
        <w:rPr>
          <w:rFonts w:hint="eastAsia" w:ascii="仿宋" w:hAnsi="仿宋" w:eastAsia="仿宋"/>
          <w:sz w:val="32"/>
          <w:szCs w:val="32"/>
        </w:rPr>
        <w:t>人；每年不定期组织教师下乡镇、企业开展课题调研。通过推动教职员工下基层调研，丰富了阅历，收集了第一手资料，为今后更好地开展教学和科研及行政后勤等工作积累了经验。</w:t>
      </w:r>
    </w:p>
    <w:p>
      <w:pPr>
        <w:widowControl/>
        <w:spacing w:line="560" w:lineRule="exact"/>
        <w:ind w:left="643"/>
        <w:rPr>
          <w:rFonts w:ascii="黑体" w:hAnsi="黑体" w:eastAsia="黑体"/>
          <w:sz w:val="32"/>
          <w:szCs w:val="32"/>
        </w:rPr>
      </w:pPr>
      <w:r>
        <w:rPr>
          <w:rFonts w:hint="eastAsia" w:ascii="黑体" w:hAnsi="黑体" w:eastAsia="黑体"/>
          <w:sz w:val="32"/>
          <w:szCs w:val="32"/>
        </w:rPr>
        <w:t>二、落实意识形态工作</w:t>
      </w:r>
    </w:p>
    <w:p>
      <w:pPr>
        <w:widowControl/>
        <w:spacing w:line="560" w:lineRule="exact"/>
        <w:ind w:firstLine="636"/>
        <w:rPr>
          <w:rFonts w:ascii="仿宋" w:hAnsi="仿宋" w:eastAsia="仿宋"/>
          <w:sz w:val="32"/>
          <w:szCs w:val="32"/>
        </w:rPr>
      </w:pPr>
      <w:r>
        <w:rPr>
          <w:rFonts w:hint="eastAsia" w:ascii="仿宋" w:hAnsi="仿宋" w:eastAsia="仿宋"/>
          <w:sz w:val="32"/>
          <w:szCs w:val="32"/>
        </w:rPr>
        <w:t>为进一步加强和改进意识形态工作，落实意识形态原则和意识形态工作责任，牢牢掌握意识形态工作的领导权、管理权、主动权，</w:t>
      </w:r>
      <w:r>
        <w:rPr>
          <w:rFonts w:ascii="仿宋" w:hAnsi="仿宋" w:eastAsia="仿宋"/>
          <w:sz w:val="32"/>
          <w:szCs w:val="32"/>
        </w:rPr>
        <w:t>2018</w:t>
      </w:r>
      <w:r>
        <w:rPr>
          <w:rFonts w:hint="eastAsia" w:ascii="仿宋" w:hAnsi="仿宋" w:eastAsia="仿宋"/>
          <w:sz w:val="32"/>
          <w:szCs w:val="32"/>
        </w:rPr>
        <w:t>年以来我校认真贯彻县委关于各党委、党组、县直各单位落实意识形态工作责任制的相关要求主要落实以下工作。</w:t>
      </w:r>
    </w:p>
    <w:p>
      <w:pPr>
        <w:spacing w:line="560" w:lineRule="exact"/>
        <w:ind w:firstLine="482" w:firstLineChars="150"/>
        <w:rPr>
          <w:rFonts w:ascii="仿宋" w:hAnsi="仿宋" w:eastAsia="仿宋"/>
          <w:b/>
          <w:sz w:val="32"/>
          <w:szCs w:val="32"/>
        </w:rPr>
      </w:pPr>
      <w:r>
        <w:rPr>
          <w:rFonts w:hint="eastAsia" w:ascii="仿宋" w:hAnsi="仿宋" w:eastAsia="仿宋"/>
          <w:b/>
          <w:sz w:val="32"/>
          <w:szCs w:val="32"/>
        </w:rPr>
        <w:t>（一）全面落实党管意识形态的主体责任</w:t>
      </w:r>
    </w:p>
    <w:p>
      <w:pPr>
        <w:spacing w:line="560" w:lineRule="exact"/>
        <w:rPr>
          <w:rFonts w:ascii="仿宋" w:hAnsi="仿宋" w:eastAsia="仿宋"/>
          <w:sz w:val="32"/>
          <w:szCs w:val="32"/>
        </w:rPr>
      </w:pPr>
      <w:r>
        <w:rPr>
          <w:rFonts w:hint="eastAsia" w:ascii="仿宋" w:hAnsi="仿宋" w:eastAsia="仿宋"/>
        </w:rPr>
        <w:t>　　</w:t>
      </w:r>
      <w:r>
        <w:rPr>
          <w:rFonts w:ascii="仿宋" w:hAnsi="仿宋" w:eastAsia="仿宋"/>
        </w:rPr>
        <w:t xml:space="preserve"> </w:t>
      </w:r>
      <w:r>
        <w:rPr>
          <w:rFonts w:hint="eastAsia" w:ascii="仿宋" w:hAnsi="仿宋" w:eastAsia="仿宋"/>
          <w:sz w:val="32"/>
          <w:szCs w:val="32"/>
        </w:rPr>
        <w:t>一是统一思想认识。通过学习习近平新时代中国特色社会主义思想及中央、省、市、县委关于党委（党组）意识形态工作责任制实施办法（细则）和县宣传思想工作会议等精神，让会议精神在党校落地生根。将意识形态工作列入了我校年度工作要点，建立健全了班子统一领导、齐抓共管，各科（室）、部门沟通协调、相互配合，共同做好意识形态的工作机制。二是明确主体责任。领导班子成员全年召开</w:t>
      </w:r>
      <w:r>
        <w:rPr>
          <w:rFonts w:ascii="仿宋" w:hAnsi="仿宋" w:eastAsia="仿宋"/>
          <w:sz w:val="32"/>
          <w:szCs w:val="32"/>
        </w:rPr>
        <w:t>2</w:t>
      </w:r>
      <w:r>
        <w:rPr>
          <w:rFonts w:hint="eastAsia" w:ascii="仿宋" w:hAnsi="仿宋" w:eastAsia="仿宋"/>
          <w:sz w:val="32"/>
          <w:szCs w:val="32"/>
        </w:rPr>
        <w:t>次意识形态工作专题研究会和</w:t>
      </w:r>
      <w:r>
        <w:rPr>
          <w:rFonts w:ascii="仿宋" w:hAnsi="仿宋" w:eastAsia="仿宋"/>
          <w:sz w:val="32"/>
          <w:szCs w:val="32"/>
        </w:rPr>
        <w:t>1</w:t>
      </w:r>
      <w:r>
        <w:rPr>
          <w:rFonts w:hint="eastAsia" w:ascii="仿宋" w:hAnsi="仿宋" w:eastAsia="仿宋"/>
          <w:sz w:val="32"/>
          <w:szCs w:val="32"/>
        </w:rPr>
        <w:t>次意识形态分析研判会，并及时向宣传部门汇报我校意识形态工作情况，分析在意识形态领域的动态、判断意识形态领域形势，研究新情况、解决新问题，并对意识形态工作任务、目标要求进行了明确和部署。建立完善了校领导班子是意识形态工作责任主体，成立了以县委常委、组织部长徐峰为第一责任人、常务副校长李兰香为直接责任人的宣传思想文化工作领导小组，明确了班子成员、工作小组成员、各科（室）的岗位职责、工作目标任务、检查考核和责任追究办法。三是健全落实制度。完善了定期通报意识形态领域情况工作制度，拟定工作方案。落实了分析研判制度，及时落实整改并提炼总结好的经验和做法。</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（二）不断强化意识形态阵地建设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是把始终坚定正确的政治方向作为党校办学最根本的原则。坚持一切教学、科研、办学活动都坚持党性原则、遵循党的政治路线，坚持在党爱党、在党言党、在党忧党、在党为党，在思想上、政治上、行动上自觉同党中央及县委县府保持高度一致。二是把坚持“三个适应、三个促进”作为当前党校教育的第一原则。适应党、国家及县委县政府工作大局的要求，促进党的中心任务的落实；适应党的干部教育的要求，促进领导干部素质和能力的提高；适应党的理论建设的要求，促进理论创新和实践创新。三是把党的基本理论教育和党性党风教育作为“第一任务”，突出理论教育和党性教育的主业和主课。强化问题导向，积极推进办学理念、教学方式、体制机制改革创新，把强化学员政治意识、保持对党忠诚作为“第一要求”。</w:t>
      </w:r>
    </w:p>
    <w:p>
      <w:pPr>
        <w:spacing w:line="560" w:lineRule="exact"/>
        <w:ind w:firstLine="630" w:firstLineChars="196"/>
        <w:rPr>
          <w:rFonts w:ascii="仿宋" w:hAnsi="仿宋" w:eastAsia="仿宋"/>
          <w:b/>
          <w:sz w:val="32"/>
          <w:szCs w:val="32"/>
        </w:rPr>
      </w:pPr>
      <w:r>
        <w:rPr>
          <w:rFonts w:hint="eastAsia" w:ascii="仿宋" w:hAnsi="仿宋" w:eastAsia="仿宋"/>
          <w:b/>
          <w:sz w:val="32"/>
          <w:szCs w:val="32"/>
        </w:rPr>
        <w:t>（三）加大宣传舆论导向工作力度</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把握导向，规范舆论宣传。完善了《中共上杭县委党校网络舆情应对工作制度》和《中共上杭县委党校意识形态领域情况分析研判制度》，重视网络舆情，成立专职网络评论员队伍，积极参与宣传部门组织的舆情培训活动，做好舆情正面引导，化解群众疑虑，树立政府形象。</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强化载体，占领舆论阵地。充分利用党校作为党员领导干部党性锻炼阵地的作用，严把主体班、外培班等学员培训的课程和内容。</w:t>
      </w:r>
      <w:r>
        <w:rPr>
          <w:rFonts w:hint="eastAsia" w:ascii="仿宋" w:hAnsi="仿宋" w:eastAsia="仿宋"/>
          <w:bCs/>
          <w:sz w:val="32"/>
          <w:szCs w:val="32"/>
        </w:rPr>
        <w:t>为充分挖掘我县本土红色教育资源，推动我县意识形态建构工作，我校郭蔚霞老师在充分调查研究的基础上结合我县实际，开设《闽西苏区的革命动员与中国共产党的意识形态建构》精品课。该门课介绍了闽西苏区时期意识形态建构的主体、革命动员的主要方式、出现的问题和解决对策。此外，还在主体班期间邀请</w:t>
      </w:r>
      <w:r>
        <w:rPr>
          <w:rFonts w:hint="eastAsia" w:ascii="仿宋" w:hAnsi="仿宋" w:eastAsia="仿宋"/>
          <w:sz w:val="32"/>
          <w:szCs w:val="32"/>
        </w:rPr>
        <w:t>张锋育副局长讲授《坚持正确舆论导向</w:t>
      </w:r>
      <w:r>
        <w:rPr>
          <w:rFonts w:ascii="仿宋" w:hAnsi="仿宋" w:eastAsia="仿宋"/>
          <w:sz w:val="32"/>
          <w:szCs w:val="32"/>
        </w:rPr>
        <w:t xml:space="preserve"> </w:t>
      </w:r>
      <w:r>
        <w:rPr>
          <w:rFonts w:hint="eastAsia" w:ascii="仿宋" w:hAnsi="仿宋" w:eastAsia="仿宋"/>
          <w:sz w:val="32"/>
          <w:szCs w:val="32"/>
        </w:rPr>
        <w:t>营造风清气正的网络空间》，进行情景模拟。</w:t>
      </w:r>
      <w:r>
        <w:rPr>
          <w:rFonts w:hint="eastAsia" w:ascii="仿宋" w:hAnsi="仿宋" w:eastAsia="仿宋"/>
          <w:bCs/>
          <w:sz w:val="32"/>
          <w:szCs w:val="32"/>
        </w:rPr>
        <w:t>该课的开设是我校加强意识形态工作的又一重要环节。体现了我校重视领导干部意识形态教育，是新时代我校进一步巩固马克思主义在意识形态领域指导地位的重要举措，体现了我校担负做好意识形态工作的重大责任。</w:t>
      </w:r>
      <w:r>
        <w:rPr>
          <w:rFonts w:hint="eastAsia" w:ascii="仿宋" w:hAnsi="仿宋" w:eastAsia="仿宋"/>
          <w:sz w:val="32"/>
          <w:szCs w:val="32"/>
        </w:rPr>
        <w:t>此外，我校利用宣传栏、文化走廊等加大了社会主义核心价值观、队伍建设、党风廉政建设等内容的宣传力度。</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主动出击，切实加强对外宣传。做好对外新闻宣传，今年，我校印发了《关于进一步加强新闻信息宣传工作的通知》，鼓励各科（室）、各单位积极向各级媒体投稿，信息报送情况纳入干部年终绩效考评。为了进一步规范信息宣传报道的质量和要求，</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月我校印发了《上杭县委党校门户网站、微信公众号管理办法》，对信息宣传网站及其他途径作了规范要求。</w:t>
      </w:r>
      <w:r>
        <w:rPr>
          <w:rFonts w:ascii="仿宋" w:hAnsi="仿宋" w:eastAsia="仿宋"/>
          <w:sz w:val="32"/>
          <w:szCs w:val="32"/>
        </w:rPr>
        <w:t>2018</w:t>
      </w:r>
      <w:r>
        <w:rPr>
          <w:rFonts w:hint="eastAsia" w:ascii="仿宋" w:hAnsi="仿宋" w:eastAsia="仿宋"/>
          <w:sz w:val="32"/>
          <w:szCs w:val="32"/>
        </w:rPr>
        <w:t>年，我校对外舆论宣传成绩显著，</w:t>
      </w:r>
      <w:r>
        <w:rPr>
          <w:rFonts w:ascii="仿宋" w:hAnsi="仿宋" w:eastAsia="仿宋"/>
          <w:sz w:val="32"/>
          <w:szCs w:val="32"/>
        </w:rPr>
        <w:t>2018</w:t>
      </w:r>
      <w:r>
        <w:rPr>
          <w:rFonts w:hint="eastAsia" w:ascii="仿宋" w:hAnsi="仿宋" w:eastAsia="仿宋"/>
          <w:sz w:val="32"/>
          <w:szCs w:val="32"/>
        </w:rPr>
        <w:t>年共上报各类信息</w:t>
      </w:r>
      <w:r>
        <w:rPr>
          <w:rFonts w:ascii="仿宋" w:hAnsi="仿宋" w:eastAsia="仿宋"/>
          <w:sz w:val="32"/>
          <w:szCs w:val="32"/>
        </w:rPr>
        <w:t>64</w:t>
      </w:r>
      <w:r>
        <w:rPr>
          <w:rFonts w:hint="eastAsia" w:ascii="仿宋" w:hAnsi="仿宋" w:eastAsia="仿宋"/>
          <w:sz w:val="32"/>
          <w:szCs w:val="32"/>
        </w:rPr>
        <w:t>篇，其中福建日报采用</w:t>
      </w:r>
      <w:r>
        <w:rPr>
          <w:rFonts w:ascii="仿宋" w:hAnsi="仿宋" w:eastAsia="仿宋"/>
          <w:sz w:val="32"/>
          <w:szCs w:val="32"/>
        </w:rPr>
        <w:t>1</w:t>
      </w:r>
      <w:r>
        <w:rPr>
          <w:rFonts w:hint="eastAsia" w:ascii="仿宋" w:hAnsi="仿宋" w:eastAsia="仿宋"/>
          <w:sz w:val="32"/>
          <w:szCs w:val="32"/>
        </w:rPr>
        <w:t>篇，福建省委党校网站采用</w:t>
      </w:r>
      <w:r>
        <w:rPr>
          <w:rFonts w:ascii="仿宋" w:hAnsi="仿宋" w:eastAsia="仿宋"/>
          <w:sz w:val="32"/>
          <w:szCs w:val="32"/>
        </w:rPr>
        <w:t>9</w:t>
      </w:r>
      <w:r>
        <w:rPr>
          <w:rFonts w:hint="eastAsia" w:ascii="仿宋" w:hAnsi="仿宋" w:eastAsia="仿宋"/>
          <w:sz w:val="32"/>
          <w:szCs w:val="32"/>
        </w:rPr>
        <w:t>篇、闽西日报采用</w:t>
      </w:r>
      <w:r>
        <w:rPr>
          <w:rFonts w:ascii="仿宋" w:hAnsi="仿宋" w:eastAsia="仿宋"/>
          <w:sz w:val="32"/>
          <w:szCs w:val="32"/>
        </w:rPr>
        <w:t>2</w:t>
      </w:r>
      <w:r>
        <w:rPr>
          <w:rFonts w:hint="eastAsia" w:ascii="仿宋" w:hAnsi="仿宋" w:eastAsia="仿宋"/>
          <w:sz w:val="32"/>
          <w:szCs w:val="32"/>
        </w:rPr>
        <w:t>篇，闽西新闻网采用</w:t>
      </w:r>
      <w:r>
        <w:rPr>
          <w:rFonts w:ascii="仿宋" w:hAnsi="仿宋" w:eastAsia="仿宋"/>
          <w:sz w:val="32"/>
          <w:szCs w:val="32"/>
        </w:rPr>
        <w:t>2</w:t>
      </w:r>
      <w:r>
        <w:rPr>
          <w:rFonts w:hint="eastAsia" w:ascii="仿宋" w:hAnsi="仿宋" w:eastAsia="仿宋"/>
          <w:sz w:val="32"/>
          <w:szCs w:val="32"/>
        </w:rPr>
        <w:t>篇，龙岩市委党校、古田干部学院网站采用</w:t>
      </w:r>
      <w:r>
        <w:rPr>
          <w:rFonts w:ascii="仿宋" w:hAnsi="仿宋" w:eastAsia="仿宋"/>
          <w:sz w:val="32"/>
          <w:szCs w:val="32"/>
        </w:rPr>
        <w:t>14</w:t>
      </w:r>
      <w:r>
        <w:rPr>
          <w:rFonts w:hint="eastAsia" w:ascii="仿宋" w:hAnsi="仿宋" w:eastAsia="仿宋"/>
          <w:sz w:val="32"/>
          <w:szCs w:val="32"/>
        </w:rPr>
        <w:t>篇，上杭信息采用</w:t>
      </w:r>
      <w:r>
        <w:rPr>
          <w:rFonts w:ascii="仿宋" w:hAnsi="仿宋" w:eastAsia="仿宋"/>
          <w:sz w:val="32"/>
          <w:szCs w:val="32"/>
        </w:rPr>
        <w:t>4</w:t>
      </w:r>
      <w:r>
        <w:rPr>
          <w:rFonts w:hint="eastAsia" w:ascii="仿宋" w:hAnsi="仿宋" w:eastAsia="仿宋"/>
          <w:sz w:val="32"/>
          <w:szCs w:val="32"/>
        </w:rPr>
        <w:t>篇，上杭新闻网采用</w:t>
      </w:r>
      <w:r>
        <w:rPr>
          <w:rFonts w:ascii="仿宋" w:hAnsi="仿宋" w:eastAsia="仿宋"/>
          <w:sz w:val="32"/>
          <w:szCs w:val="32"/>
        </w:rPr>
        <w:t>25</w:t>
      </w:r>
      <w:r>
        <w:rPr>
          <w:rFonts w:hint="eastAsia" w:ascii="仿宋" w:hAnsi="仿宋" w:eastAsia="仿宋"/>
          <w:sz w:val="32"/>
          <w:szCs w:val="32"/>
        </w:rPr>
        <w:t>篇，上杭效能简报采用</w:t>
      </w:r>
      <w:r>
        <w:rPr>
          <w:rFonts w:ascii="仿宋" w:hAnsi="仿宋" w:eastAsia="仿宋"/>
          <w:sz w:val="32"/>
          <w:szCs w:val="32"/>
        </w:rPr>
        <w:t>1</w:t>
      </w:r>
      <w:r>
        <w:rPr>
          <w:rFonts w:hint="eastAsia" w:ascii="仿宋" w:hAnsi="仿宋" w:eastAsia="仿宋"/>
          <w:sz w:val="32"/>
          <w:szCs w:val="32"/>
        </w:rPr>
        <w:t>篇，上杭党建采用</w:t>
      </w:r>
      <w:r>
        <w:rPr>
          <w:rFonts w:ascii="仿宋" w:hAnsi="仿宋" w:eastAsia="仿宋"/>
          <w:sz w:val="32"/>
          <w:szCs w:val="32"/>
        </w:rPr>
        <w:t>1</w:t>
      </w:r>
      <w:r>
        <w:rPr>
          <w:rFonts w:hint="eastAsia" w:ascii="仿宋" w:hAnsi="仿宋" w:eastAsia="仿宋"/>
          <w:sz w:val="32"/>
          <w:szCs w:val="32"/>
        </w:rPr>
        <w:t>篇。</w:t>
      </w:r>
    </w:p>
    <w:p>
      <w:pPr>
        <w:spacing w:line="560" w:lineRule="exact"/>
        <w:ind w:firstLine="800" w:firstLineChars="250"/>
        <w:rPr>
          <w:rFonts w:ascii="黑体" w:hAnsi="黑体" w:eastAsia="黑体"/>
          <w:sz w:val="32"/>
          <w:szCs w:val="32"/>
        </w:rPr>
      </w:pPr>
      <w:r>
        <w:rPr>
          <w:rFonts w:hint="eastAsia" w:ascii="黑体" w:hAnsi="黑体" w:eastAsia="黑体"/>
          <w:sz w:val="32"/>
          <w:szCs w:val="32"/>
        </w:rPr>
        <w:t>三、提升办学培训水平</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（一）</w:t>
      </w:r>
      <w:r>
        <w:rPr>
          <w:rFonts w:hint="eastAsia" w:ascii="仿宋" w:hAnsi="仿宋" w:eastAsia="仿宋" w:cs="宋体"/>
          <w:b/>
          <w:bCs/>
          <w:sz w:val="32"/>
          <w:szCs w:val="32"/>
        </w:rPr>
        <w:t>充分发挥党校干部教育培训主渠道作用，切实</w:t>
      </w:r>
      <w:r>
        <w:rPr>
          <w:rFonts w:hint="eastAsia" w:ascii="仿宋" w:hAnsi="仿宋" w:eastAsia="仿宋"/>
          <w:b/>
          <w:bCs/>
          <w:sz w:val="32"/>
          <w:szCs w:val="32"/>
        </w:rPr>
        <w:t>加强思想引领</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准确把握新思想精髓和核心要义。上杭县委党校始终把贯彻落实习近平新时代中国特色社会主义思想和党的十九大精神作为教学重中之重，</w:t>
      </w:r>
      <w:r>
        <w:rPr>
          <w:rFonts w:hint="eastAsia" w:ascii="仿宋" w:hAnsi="仿宋" w:eastAsia="仿宋" w:cs="宋体"/>
          <w:bCs/>
          <w:kern w:val="0"/>
          <w:sz w:val="32"/>
          <w:szCs w:val="32"/>
        </w:rPr>
        <w:t>坚持把学习宣传贯彻习近平新时代中国特色社会主义思想和党的十九大精神作为首要政治任务，充分发挥党校学习培训主渠道作用，引导党员干部和党校学员准确把握新思想精髓和核心要义，组织全体教职员工和党校学员深入学习《习近平新时代中国特色社会主义思想学习纲要》《习近平谈治国理政》《习近平总书记系列重要讲话》《习近平新时代中国特色社会主义思想三十讲》等读本。严格落实校中心组、校委会（扩大会）、全体干部职工学习制度，坚持把习近平总书记重要讲话精神、中央和省、市、县重要会议及县委常委会传达学习的重要会议精神和重大决策部署、县委中心组组织学习的课题作为党校学习的重要内容。</w:t>
      </w:r>
    </w:p>
    <w:p>
      <w:pPr>
        <w:pStyle w:val="5"/>
        <w:shd w:val="clear" w:color="auto" w:fill="FFFFFF"/>
        <w:spacing w:before="0" w:beforeAutospacing="0" w:after="0" w:afterAutospacing="0" w:line="560" w:lineRule="exact"/>
        <w:ind w:firstLine="640" w:firstLineChars="200"/>
        <w:rPr>
          <w:rFonts w:ascii="仿宋" w:hAnsi="仿宋" w:eastAsia="仿宋" w:cs="Times New Roman"/>
          <w:kern w:val="2"/>
          <w:sz w:val="32"/>
          <w:szCs w:val="32"/>
        </w:rPr>
      </w:pPr>
      <w:r>
        <w:rPr>
          <w:rFonts w:ascii="仿宋" w:hAnsi="仿宋" w:eastAsia="仿宋"/>
          <w:kern w:val="2"/>
          <w:sz w:val="32"/>
        </w:rPr>
        <w:t>2.</w:t>
      </w:r>
      <w:r>
        <w:rPr>
          <w:rFonts w:hint="eastAsia" w:ascii="仿宋" w:hAnsi="仿宋" w:eastAsia="仿宋"/>
          <w:kern w:val="2"/>
          <w:sz w:val="32"/>
        </w:rPr>
        <w:t>着力抓好主业主课。</w:t>
      </w:r>
      <w:r>
        <w:rPr>
          <w:rFonts w:hint="eastAsia" w:ascii="仿宋" w:hAnsi="仿宋" w:eastAsia="仿宋"/>
          <w:color w:val="000000"/>
          <w:sz w:val="32"/>
          <w:szCs w:val="32"/>
          <w:shd w:val="clear" w:color="auto" w:fill="FFFFFF"/>
        </w:rPr>
        <w:t>一是注重抓好主体班教学工作。</w:t>
      </w:r>
      <w:r>
        <w:rPr>
          <w:rFonts w:ascii="仿宋" w:hAnsi="仿宋" w:eastAsia="仿宋"/>
          <w:sz w:val="32"/>
          <w:szCs w:val="32"/>
        </w:rPr>
        <w:t>2018</w:t>
      </w:r>
      <w:r>
        <w:rPr>
          <w:rFonts w:hint="eastAsia" w:ascii="仿宋" w:hAnsi="仿宋" w:eastAsia="仿宋"/>
          <w:sz w:val="32"/>
          <w:szCs w:val="32"/>
        </w:rPr>
        <w:t>年举办了</w:t>
      </w:r>
      <w:r>
        <w:rPr>
          <w:rFonts w:ascii="仿宋" w:hAnsi="仿宋" w:eastAsia="仿宋"/>
          <w:sz w:val="32"/>
          <w:szCs w:val="32"/>
        </w:rPr>
        <w:t>6</w:t>
      </w:r>
      <w:r>
        <w:rPr>
          <w:rFonts w:hint="eastAsia" w:ascii="仿宋" w:hAnsi="仿宋" w:eastAsia="仿宋"/>
          <w:sz w:val="32"/>
          <w:szCs w:val="32"/>
        </w:rPr>
        <w:t>个主体班次，培训学员</w:t>
      </w:r>
      <w:r>
        <w:rPr>
          <w:rFonts w:ascii="仿宋" w:hAnsi="仿宋" w:eastAsia="仿宋"/>
          <w:sz w:val="32"/>
          <w:szCs w:val="32"/>
        </w:rPr>
        <w:t>246</w:t>
      </w:r>
      <w:r>
        <w:rPr>
          <w:rFonts w:hint="eastAsia" w:ascii="仿宋" w:hAnsi="仿宋" w:eastAsia="仿宋"/>
          <w:sz w:val="32"/>
          <w:szCs w:val="32"/>
        </w:rPr>
        <w:t>人次。全面推行“课堂教学、经典教学、现场教学、交流研讨、异地培训”五位一体培训模式，坚持理论联系实际的教学方针，进一步提升培训实效和增强学员的党性意识。今年以来组织主体班次学员分别前往江西井冈山、广西兴安、湖南韶山、陕西延安、重庆、河北西柏坡等地开展异地教学。二是严格设置教学课程。严格按照中央和省委、市委、县委《关于加强和改进新形势下党校工作的实施意见》的要求，把党的理论教育和党性教育作为党校教学的主课，组织党校教师紧紧围绕习近平新时代中国特色社会主义思想、党的十九大精神、党章党规、党史国史、意识形态及省、市、县重大会议精神和我县丰富的红色教学资源等内容进行精心备课。今年以来开发了《习近平新时代中国特色社会主义思想和基本方略》《习近平新时代中国特色社会主义思想在福建的孕育与实践》《不忘初心</w:t>
      </w:r>
      <w:r>
        <w:rPr>
          <w:rFonts w:ascii="仿宋" w:hAnsi="仿宋" w:eastAsia="仿宋"/>
          <w:sz w:val="32"/>
          <w:szCs w:val="32"/>
        </w:rPr>
        <w:t xml:space="preserve"> </w:t>
      </w:r>
      <w:r>
        <w:rPr>
          <w:rFonts w:hint="eastAsia" w:ascii="仿宋" w:hAnsi="仿宋" w:eastAsia="仿宋"/>
          <w:sz w:val="32"/>
          <w:szCs w:val="32"/>
        </w:rPr>
        <w:t>牢记使命</w:t>
      </w:r>
      <w:r>
        <w:rPr>
          <w:rFonts w:ascii="仿宋" w:hAnsi="仿宋" w:eastAsia="仿宋"/>
          <w:sz w:val="32"/>
          <w:szCs w:val="32"/>
        </w:rPr>
        <w:t>—</w:t>
      </w:r>
      <w:r>
        <w:rPr>
          <w:rFonts w:hint="eastAsia" w:ascii="仿宋" w:hAnsi="仿宋" w:eastAsia="仿宋"/>
          <w:sz w:val="32"/>
          <w:szCs w:val="32"/>
        </w:rPr>
        <w:t>学习贯彻党的十九大精神》《十九届三中全会暨</w:t>
      </w:r>
      <w:r>
        <w:rPr>
          <w:rFonts w:ascii="仿宋" w:hAnsi="仿宋" w:eastAsia="仿宋"/>
          <w:sz w:val="32"/>
          <w:szCs w:val="32"/>
        </w:rPr>
        <w:t>2018</w:t>
      </w:r>
      <w:r>
        <w:rPr>
          <w:rFonts w:hint="eastAsia" w:ascii="仿宋" w:hAnsi="仿宋" w:eastAsia="仿宋"/>
          <w:sz w:val="32"/>
          <w:szCs w:val="32"/>
        </w:rPr>
        <w:t>年两会精神解读》《遵循党章要求，做新时代合格党员》《中国共产党纪律处分条例解读（</w:t>
      </w:r>
      <w:r>
        <w:rPr>
          <w:rFonts w:ascii="仿宋" w:hAnsi="仿宋" w:eastAsia="仿宋"/>
          <w:sz w:val="32"/>
          <w:szCs w:val="32"/>
        </w:rPr>
        <w:t>2018</w:t>
      </w:r>
      <w:r>
        <w:rPr>
          <w:rFonts w:hint="eastAsia" w:ascii="仿宋" w:hAnsi="仿宋" w:eastAsia="仿宋"/>
          <w:sz w:val="32"/>
          <w:szCs w:val="32"/>
        </w:rPr>
        <w:t>版）》《新时代强军建设和中国特色大国外交》《坚定文化自信</w:t>
      </w:r>
      <w:r>
        <w:rPr>
          <w:rFonts w:ascii="仿宋" w:hAnsi="仿宋" w:eastAsia="仿宋"/>
          <w:sz w:val="32"/>
          <w:szCs w:val="32"/>
        </w:rPr>
        <w:t xml:space="preserve"> </w:t>
      </w:r>
      <w:r>
        <w:rPr>
          <w:rFonts w:hint="eastAsia" w:ascii="仿宋" w:hAnsi="仿宋" w:eastAsia="仿宋"/>
          <w:sz w:val="32"/>
          <w:szCs w:val="32"/>
        </w:rPr>
        <w:t>繁荣中国特色社会主义文化》《学习十九大精神，推进法治中国建设》《贯彻落实十九大精神，真抓实干，加强诚信建设》《坚持推动构建人类命运共同体》</w:t>
      </w:r>
      <w:r>
        <w:rPr>
          <w:rFonts w:hint="eastAsia" w:ascii="仿宋" w:hAnsi="仿宋" w:eastAsia="仿宋"/>
          <w:color w:val="000000"/>
          <w:sz w:val="32"/>
          <w:szCs w:val="32"/>
          <w:shd w:val="clear" w:color="auto" w:fill="FFFFFF"/>
        </w:rPr>
        <w:t>《闽西苏区的革命动员与中国共产党的意识形态建构》《古田会议从严治党思想及其现实意义》</w:t>
      </w:r>
      <w:r>
        <w:rPr>
          <w:rFonts w:hint="eastAsia" w:ascii="仿宋" w:hAnsi="仿宋" w:eastAsia="仿宋"/>
          <w:sz w:val="32"/>
          <w:szCs w:val="32"/>
        </w:rPr>
        <w:t>等课程。三是精心策划专题培训。会同县委组织部及相关单位举办各类专题培训，今年会同县委办、县委组织部举办了上杭县领导干部“深入学习贯彻习近平新时代中国特色社会主义思想”专题研讨班；</w:t>
      </w:r>
      <w:r>
        <w:rPr>
          <w:rFonts w:hint="eastAsia" w:ascii="仿宋" w:hAnsi="仿宋" w:eastAsia="仿宋" w:cs="Times New Roman"/>
          <w:kern w:val="2"/>
          <w:sz w:val="32"/>
          <w:szCs w:val="32"/>
        </w:rPr>
        <w:t>会同县委组织部举办了两期入党积极分子培训班、两期“乡村振兴创新发展”专题培训班、一期大学生村官专题培训班。</w:t>
      </w:r>
    </w:p>
    <w:p>
      <w:pPr>
        <w:spacing w:line="560" w:lineRule="exact"/>
        <w:ind w:firstLine="616" w:firstLineChars="200"/>
        <w:rPr>
          <w:rFonts w:ascii="仿宋" w:hAnsi="仿宋" w:eastAsia="仿宋"/>
          <w:spacing w:val="-6"/>
          <w:sz w:val="32"/>
        </w:rPr>
      </w:pPr>
      <w:r>
        <w:rPr>
          <w:rFonts w:ascii="仿宋" w:hAnsi="仿宋" w:eastAsia="仿宋"/>
          <w:spacing w:val="-6"/>
          <w:sz w:val="32"/>
        </w:rPr>
        <w:t>3.</w:t>
      </w:r>
      <w:r>
        <w:rPr>
          <w:rFonts w:hint="eastAsia" w:ascii="仿宋" w:hAnsi="仿宋" w:eastAsia="仿宋"/>
          <w:spacing w:val="-6"/>
          <w:sz w:val="32"/>
        </w:rPr>
        <w:t>注重提升课堂质量。着力提升师资素质，每年分期分批外派教师到省、市党校或高校学习深造及师资培训，要求每位教师把学习习近平新时代中国特色社会主义思想和党的十九大精神作为当前的重要学习任务，做到先学一步、深学一层、学深悟透。建立教学师资库，根据培训需求，建立了各门学科及专业师资库，聘请了中央党校科社教研部副教授</w:t>
      </w:r>
      <w:r>
        <w:rPr>
          <w:rFonts w:hint="eastAsia" w:ascii="仿宋" w:hAnsi="仿宋" w:eastAsia="仿宋" w:cs="宋体"/>
          <w:spacing w:val="-6"/>
          <w:sz w:val="32"/>
        </w:rPr>
        <w:t>徐浩然为我校客座教授，聘请了部分县直和乡镇有关领导及专家学者为我校兼职教师，通过有效整合师资资源，有效增强了培训效果，也活跃了党校的课堂氛围。</w:t>
      </w:r>
      <w:r>
        <w:rPr>
          <w:rFonts w:hint="eastAsia" w:ascii="仿宋" w:hAnsi="仿宋" w:eastAsia="仿宋"/>
          <w:spacing w:val="-6"/>
          <w:sz w:val="32"/>
        </w:rPr>
        <w:t>重视优质课堂建设，为进一步提升党校教学质量，着力在课题的新颖、精品、特色上下功夫，</w:t>
      </w:r>
      <w:r>
        <w:rPr>
          <w:rFonts w:ascii="仿宋" w:hAnsi="仿宋" w:eastAsia="仿宋"/>
          <w:spacing w:val="-6"/>
          <w:sz w:val="32"/>
        </w:rPr>
        <w:t xml:space="preserve"> 2018</w:t>
      </w:r>
      <w:r>
        <w:rPr>
          <w:rFonts w:hint="eastAsia" w:ascii="仿宋" w:hAnsi="仿宋" w:eastAsia="仿宋"/>
          <w:spacing w:val="-6"/>
          <w:sz w:val="32"/>
        </w:rPr>
        <w:t>年举办了“争当红土地名师，讲好新时代党课”说课比赛。积极鼓励我校教师参加市委党校优质课比赛，今年我校张小玲老师在参加市委党校优质课比赛中获得二等奖好成绩。实行教师新课试讲试听制度，为提高教师备课质量，提升课堂教学效果，我校严格实行教师新课试讲试听制度，通过试讲试听集中讨论，为试讲教师完善充实课题建言献策，达到共同提高的目的，把好课题准入关。</w:t>
      </w:r>
    </w:p>
    <w:p>
      <w:pPr>
        <w:spacing w:line="560" w:lineRule="exact"/>
        <w:ind w:firstLine="616" w:firstLineChars="200"/>
        <w:rPr>
          <w:rFonts w:ascii="仿宋" w:hAnsi="仿宋" w:eastAsia="仿宋"/>
          <w:sz w:val="32"/>
          <w:szCs w:val="32"/>
        </w:rPr>
      </w:pPr>
      <w:r>
        <w:rPr>
          <w:rFonts w:ascii="仿宋" w:hAnsi="仿宋" w:eastAsia="仿宋"/>
          <w:spacing w:val="-6"/>
          <w:sz w:val="32"/>
          <w:szCs w:val="32"/>
        </w:rPr>
        <w:t>4.</w:t>
      </w:r>
      <w:r>
        <w:rPr>
          <w:rFonts w:hint="eastAsia" w:ascii="仿宋" w:hAnsi="仿宋" w:eastAsia="仿宋"/>
          <w:spacing w:val="-6"/>
          <w:sz w:val="32"/>
          <w:szCs w:val="32"/>
        </w:rPr>
        <w:t>落实领导干部到党校讲课制度。</w:t>
      </w:r>
      <w:r>
        <w:rPr>
          <w:rFonts w:hint="eastAsia" w:ascii="仿宋" w:hAnsi="仿宋" w:eastAsia="仿宋"/>
          <w:sz w:val="32"/>
          <w:szCs w:val="32"/>
        </w:rPr>
        <w:t>为贯彻落实全国党校工作会议精神，推动领导干部上讲堂、上党课，县领导傅藏荣、王波、徐峰、胡长松、张毓章、胡滨、詹崇仁、张北阳等分别到我校为主体班学员授课，并取得了良好的培训效果，提升了培训档次。</w:t>
      </w:r>
      <w:r>
        <w:rPr>
          <w:rFonts w:ascii="仿宋" w:hAnsi="仿宋" w:eastAsia="仿宋"/>
          <w:sz w:val="32"/>
          <w:szCs w:val="32"/>
        </w:rPr>
        <w:t>2018</w:t>
      </w:r>
      <w:r>
        <w:rPr>
          <w:rFonts w:hint="eastAsia" w:ascii="仿宋" w:hAnsi="仿宋" w:eastAsia="仿宋"/>
          <w:sz w:val="32"/>
          <w:szCs w:val="32"/>
        </w:rPr>
        <w:t>年春季主体班，县委书记傅藏荣走进党校课堂，为参训学员上了一堂“调查研究”的专题党课，并结合每位学员所在单位及其个人工作岗位实际，亲自“点题”逐个布置调研课题，并亲自批改调研论文</w:t>
      </w:r>
      <w:r>
        <w:rPr>
          <w:rFonts w:ascii="仿宋" w:hAnsi="仿宋" w:eastAsia="仿宋"/>
          <w:sz w:val="32"/>
          <w:szCs w:val="32"/>
        </w:rPr>
        <w:t>85</w:t>
      </w:r>
      <w:r>
        <w:rPr>
          <w:rFonts w:hint="eastAsia" w:ascii="仿宋" w:hAnsi="仿宋" w:eastAsia="仿宋"/>
          <w:sz w:val="32"/>
          <w:szCs w:val="32"/>
        </w:rPr>
        <w:t>篇，其中</w:t>
      </w:r>
      <w:r>
        <w:rPr>
          <w:rFonts w:ascii="仿宋" w:hAnsi="仿宋" w:eastAsia="仿宋"/>
          <w:sz w:val="32"/>
          <w:szCs w:val="32"/>
        </w:rPr>
        <w:t>19</w:t>
      </w:r>
      <w:r>
        <w:rPr>
          <w:rFonts w:hint="eastAsia" w:ascii="仿宋" w:hAnsi="仿宋" w:eastAsia="仿宋"/>
          <w:sz w:val="32"/>
          <w:szCs w:val="32"/>
        </w:rPr>
        <w:t>篇论文签批给分管县领导阅研，</w:t>
      </w:r>
      <w:r>
        <w:rPr>
          <w:rFonts w:ascii="仿宋" w:hAnsi="仿宋" w:eastAsia="仿宋"/>
          <w:sz w:val="32"/>
          <w:szCs w:val="32"/>
        </w:rPr>
        <w:t>25</w:t>
      </w:r>
      <w:r>
        <w:rPr>
          <w:rFonts w:hint="eastAsia" w:ascii="仿宋" w:hAnsi="仿宋" w:eastAsia="仿宋"/>
          <w:sz w:val="32"/>
          <w:szCs w:val="32"/>
        </w:rPr>
        <w:t>篇建议评为优秀论文。此外，县直有关部门领导干部如纪委、公安局、政法委、扶贫办、法院、检察院、环保局、消防大队等领导也纷纷走进党校课堂为主体班学员讲授本部门业务知识，极大丰富了教学内容，提高了教学的实用性及操作性。</w:t>
      </w:r>
    </w:p>
    <w:p>
      <w:pPr>
        <w:pStyle w:val="5"/>
        <w:shd w:val="clear" w:color="auto" w:fill="FFFFFF"/>
        <w:spacing w:before="0" w:beforeAutospacing="0" w:after="0" w:afterAutospacing="0" w:line="560" w:lineRule="exact"/>
        <w:ind w:firstLine="640" w:firstLineChars="200"/>
        <w:rPr>
          <w:rFonts w:ascii="仿宋" w:hAnsi="仿宋" w:eastAsia="仿宋" w:cs="Times New Roman"/>
          <w:kern w:val="2"/>
          <w:sz w:val="32"/>
          <w:szCs w:val="32"/>
        </w:rPr>
      </w:pPr>
      <w:r>
        <w:rPr>
          <w:rFonts w:ascii="仿宋" w:hAnsi="仿宋" w:eastAsia="仿宋"/>
          <w:sz w:val="32"/>
          <w:szCs w:val="32"/>
        </w:rPr>
        <w:t>5.</w:t>
      </w:r>
      <w:r>
        <w:rPr>
          <w:rFonts w:hint="eastAsia" w:ascii="仿宋" w:hAnsi="仿宋" w:eastAsia="仿宋"/>
          <w:sz w:val="32"/>
          <w:szCs w:val="32"/>
        </w:rPr>
        <w:t>加强学风校风教风建设。深入落实全面从严治党要求，坚持从严治校、从严治教、从严治学，</w:t>
      </w:r>
      <w:r>
        <w:rPr>
          <w:rFonts w:hint="eastAsia" w:ascii="仿宋" w:hAnsi="仿宋" w:eastAsia="仿宋" w:cs="Tahoma"/>
          <w:sz w:val="32"/>
          <w:szCs w:val="32"/>
        </w:rPr>
        <w:t>坚持学术研究无禁区、课堂讲授有纪律，</w:t>
      </w:r>
      <w:r>
        <w:rPr>
          <w:rFonts w:hint="eastAsia" w:ascii="仿宋" w:hAnsi="仿宋" w:eastAsia="仿宋"/>
          <w:sz w:val="32"/>
          <w:szCs w:val="32"/>
        </w:rPr>
        <w:t>严肃党校课堂纪律，党校讲台做到“三不讲”，即历史纠葛不讲、政治敏感问题不讲、不讲与党中央宣传口径不一致的个人观点，把党校课堂纪律作为当前重要意识形态抓实抓好。</w:t>
      </w:r>
      <w:r>
        <w:rPr>
          <w:rFonts w:hint="eastAsia" w:ascii="仿宋" w:hAnsi="仿宋" w:eastAsia="仿宋" w:cs="Times New Roman"/>
          <w:kern w:val="2"/>
          <w:sz w:val="32"/>
          <w:szCs w:val="32"/>
        </w:rPr>
        <w:t>引导全校教职员工</w:t>
      </w:r>
      <w:r>
        <w:rPr>
          <w:rFonts w:hint="eastAsia" w:ascii="仿宋" w:hAnsi="仿宋" w:eastAsia="仿宋"/>
          <w:sz w:val="32"/>
          <w:szCs w:val="32"/>
        </w:rPr>
        <w:t>和党校学员</w:t>
      </w:r>
      <w:r>
        <w:rPr>
          <w:rFonts w:hint="eastAsia" w:ascii="仿宋" w:hAnsi="仿宋" w:eastAsia="仿宋" w:cs="Times New Roman"/>
          <w:kern w:val="2"/>
          <w:sz w:val="32"/>
          <w:szCs w:val="32"/>
        </w:rPr>
        <w:t>牢固树立“四个意识”，坚定“四个自信”，坚决维护以习近平总书记为核心的党中央权威，确保党校风清气正</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深入开展送教下基层活动。积极参与“星火讲师团”宣讲活动。充分发挥党校教师在党的理论宣讲方面的优势，组织全体教师深入机关、乡村、社区、学校以及重点项目、建设工地等基层一线，针对不同宣讲对象和基层实际需要，开展了丰富多彩、形式多样的宣讲活动，做到送教下基层无死角全履盖。去年以来，累计下基层宣讲近</w:t>
      </w:r>
      <w:r>
        <w:rPr>
          <w:rFonts w:ascii="仿宋" w:hAnsi="仿宋" w:eastAsia="仿宋"/>
          <w:sz w:val="32"/>
          <w:szCs w:val="32"/>
        </w:rPr>
        <w:t>50</w:t>
      </w:r>
      <w:r>
        <w:rPr>
          <w:rFonts w:hint="eastAsia" w:ascii="仿宋" w:hAnsi="仿宋" w:eastAsia="仿宋"/>
          <w:sz w:val="32"/>
          <w:szCs w:val="32"/>
        </w:rPr>
        <w:t>场次。</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（二）充分发挥党校理论研究主阵地作用，着力提升科研和决策咨询能力</w:t>
      </w:r>
    </w:p>
    <w:p>
      <w:pPr>
        <w:pStyle w:val="5"/>
        <w:spacing w:before="0" w:beforeAutospacing="0" w:after="0" w:afterAutospacing="0" w:line="560" w:lineRule="exact"/>
        <w:ind w:firstLine="640" w:firstLineChars="200"/>
        <w:rPr>
          <w:rFonts w:ascii="仿宋" w:hAnsi="仿宋" w:eastAsia="仿宋"/>
          <w:bCs/>
          <w:sz w:val="32"/>
          <w:szCs w:val="32"/>
        </w:rPr>
      </w:pPr>
      <w:r>
        <w:rPr>
          <w:rFonts w:ascii="仿宋" w:hAnsi="仿宋" w:eastAsia="仿宋"/>
          <w:sz w:val="32"/>
          <w:szCs w:val="32"/>
        </w:rPr>
        <w:t>1.</w:t>
      </w:r>
      <w:r>
        <w:rPr>
          <w:rFonts w:hint="eastAsia" w:ascii="仿宋" w:hAnsi="仿宋" w:eastAsia="仿宋"/>
          <w:sz w:val="32"/>
          <w:szCs w:val="32"/>
        </w:rPr>
        <w:t>注重提升科研质量。积极参与省、市、县课题的立项申报工作，其中《闽西苏区的文化动员与意识形态建构》课题获省级课题立项。</w:t>
      </w:r>
      <w:r>
        <w:rPr>
          <w:rFonts w:ascii="仿宋" w:hAnsi="仿宋" w:eastAsia="仿宋"/>
          <w:sz w:val="32"/>
          <w:szCs w:val="32"/>
        </w:rPr>
        <w:t>2018</w:t>
      </w:r>
      <w:r>
        <w:rPr>
          <w:rFonts w:hint="eastAsia" w:ascii="仿宋" w:hAnsi="仿宋" w:eastAsia="仿宋"/>
          <w:sz w:val="32"/>
          <w:szCs w:val="32"/>
        </w:rPr>
        <w:t>年由党校承担的</w:t>
      </w:r>
      <w:r>
        <w:rPr>
          <w:rFonts w:ascii="仿宋" w:hAnsi="仿宋" w:eastAsia="仿宋"/>
          <w:sz w:val="32"/>
          <w:szCs w:val="32"/>
        </w:rPr>
        <w:t>2</w:t>
      </w:r>
      <w:r>
        <w:rPr>
          <w:rFonts w:hint="eastAsia" w:ascii="仿宋" w:hAnsi="仿宋" w:eastAsia="仿宋"/>
          <w:sz w:val="32"/>
          <w:szCs w:val="32"/>
        </w:rPr>
        <w:t>项</w:t>
      </w:r>
      <w:r>
        <w:rPr>
          <w:rFonts w:ascii="仿宋" w:hAnsi="仿宋" w:eastAsia="仿宋"/>
          <w:sz w:val="32"/>
          <w:szCs w:val="32"/>
        </w:rPr>
        <w:t>2017</w:t>
      </w:r>
      <w:r>
        <w:rPr>
          <w:rFonts w:hint="eastAsia" w:ascii="仿宋" w:hAnsi="仿宋" w:eastAsia="仿宋"/>
          <w:sz w:val="32"/>
          <w:szCs w:val="32"/>
        </w:rPr>
        <w:t>年度福建省党校、行政学院系统中国特色社会主义理论体系研究基地课题顺利通过验收结项。积极参与省委党校刘大可副校长负责牵头的《闽台始祖文化》课题的调研与撰写。</w:t>
      </w:r>
      <w:r>
        <w:rPr>
          <w:rFonts w:ascii="仿宋" w:hAnsi="仿宋" w:eastAsia="仿宋"/>
          <w:sz w:val="32"/>
          <w:szCs w:val="32"/>
        </w:rPr>
        <w:t>2018</w:t>
      </w:r>
      <w:r>
        <w:rPr>
          <w:rFonts w:hint="eastAsia" w:ascii="仿宋" w:hAnsi="仿宋" w:eastAsia="仿宋"/>
          <w:sz w:val="32"/>
          <w:szCs w:val="32"/>
        </w:rPr>
        <w:t>年，我校共撰写发表论文</w:t>
      </w:r>
      <w:r>
        <w:rPr>
          <w:rFonts w:ascii="仿宋" w:hAnsi="仿宋" w:eastAsia="仿宋"/>
          <w:sz w:val="32"/>
          <w:szCs w:val="32"/>
        </w:rPr>
        <w:t>7</w:t>
      </w:r>
      <w:r>
        <w:rPr>
          <w:rFonts w:hint="eastAsia" w:ascii="仿宋" w:hAnsi="仿宋" w:eastAsia="仿宋"/>
          <w:sz w:val="32"/>
          <w:szCs w:val="32"/>
        </w:rPr>
        <w:t>篇，其中在省级以上刊物发表</w:t>
      </w:r>
      <w:r>
        <w:rPr>
          <w:rFonts w:ascii="仿宋" w:hAnsi="仿宋" w:eastAsia="仿宋"/>
          <w:sz w:val="32"/>
          <w:szCs w:val="32"/>
        </w:rPr>
        <w:t>2</w:t>
      </w:r>
      <w:r>
        <w:rPr>
          <w:rFonts w:hint="eastAsia" w:ascii="仿宋" w:hAnsi="仿宋" w:eastAsia="仿宋"/>
          <w:sz w:val="32"/>
          <w:szCs w:val="32"/>
        </w:rPr>
        <w:t>篇，市级刊物</w:t>
      </w:r>
      <w:r>
        <w:rPr>
          <w:rFonts w:ascii="仿宋" w:hAnsi="仿宋" w:eastAsia="仿宋"/>
          <w:sz w:val="32"/>
          <w:szCs w:val="32"/>
        </w:rPr>
        <w:t>4</w:t>
      </w:r>
      <w:r>
        <w:rPr>
          <w:rFonts w:hint="eastAsia" w:ascii="仿宋" w:hAnsi="仿宋" w:eastAsia="仿宋"/>
          <w:sz w:val="32"/>
          <w:szCs w:val="32"/>
        </w:rPr>
        <w:t>篇，县级刊物</w:t>
      </w:r>
      <w:r>
        <w:rPr>
          <w:rFonts w:ascii="仿宋" w:hAnsi="仿宋" w:eastAsia="仿宋"/>
          <w:sz w:val="32"/>
          <w:szCs w:val="32"/>
        </w:rPr>
        <w:t>1</w:t>
      </w:r>
      <w:r>
        <w:rPr>
          <w:rFonts w:hint="eastAsia" w:ascii="仿宋" w:hAnsi="仿宋" w:eastAsia="仿宋"/>
          <w:sz w:val="32"/>
          <w:szCs w:val="32"/>
        </w:rPr>
        <w:t>篇。另外，选送了近</w:t>
      </w:r>
      <w:r>
        <w:rPr>
          <w:rFonts w:ascii="仿宋" w:hAnsi="仿宋" w:eastAsia="仿宋"/>
          <w:sz w:val="32"/>
          <w:szCs w:val="32"/>
        </w:rPr>
        <w:t>3</w:t>
      </w:r>
      <w:r>
        <w:rPr>
          <w:rFonts w:hint="eastAsia" w:ascii="仿宋" w:hAnsi="仿宋" w:eastAsia="仿宋"/>
          <w:sz w:val="32"/>
          <w:szCs w:val="32"/>
        </w:rPr>
        <w:t>年来我校老师的</w:t>
      </w:r>
      <w:r>
        <w:rPr>
          <w:rFonts w:ascii="仿宋" w:hAnsi="仿宋" w:eastAsia="仿宋"/>
          <w:sz w:val="32"/>
          <w:szCs w:val="32"/>
        </w:rPr>
        <w:t>8</w:t>
      </w:r>
      <w:r>
        <w:rPr>
          <w:rFonts w:hint="eastAsia" w:ascii="仿宋" w:hAnsi="仿宋" w:eastAsia="仿宋"/>
          <w:sz w:val="32"/>
          <w:szCs w:val="32"/>
        </w:rPr>
        <w:t>篇论文参加龙岩市党校系统第七届（</w:t>
      </w:r>
      <w:r>
        <w:rPr>
          <w:rFonts w:ascii="仿宋" w:hAnsi="仿宋" w:eastAsia="仿宋"/>
          <w:sz w:val="32"/>
          <w:szCs w:val="32"/>
        </w:rPr>
        <w:t>2015-2017</w:t>
      </w:r>
      <w:r>
        <w:rPr>
          <w:rFonts w:hint="eastAsia" w:ascii="仿宋" w:hAnsi="仿宋" w:eastAsia="仿宋"/>
          <w:sz w:val="32"/>
          <w:szCs w:val="32"/>
        </w:rPr>
        <w:t>年）社会科学优秀成果评选活动，</w:t>
      </w:r>
      <w:r>
        <w:rPr>
          <w:rFonts w:ascii="仿宋" w:hAnsi="仿宋" w:eastAsia="仿宋"/>
          <w:sz w:val="32"/>
          <w:szCs w:val="32"/>
        </w:rPr>
        <w:t>1</w:t>
      </w:r>
      <w:r>
        <w:rPr>
          <w:rFonts w:hint="eastAsia" w:ascii="仿宋" w:hAnsi="仿宋" w:eastAsia="仿宋"/>
          <w:sz w:val="32"/>
          <w:szCs w:val="32"/>
        </w:rPr>
        <w:t>篇获得一等奖，</w:t>
      </w:r>
      <w:r>
        <w:rPr>
          <w:rFonts w:ascii="仿宋" w:hAnsi="仿宋" w:eastAsia="仿宋"/>
          <w:sz w:val="32"/>
          <w:szCs w:val="32"/>
        </w:rPr>
        <w:t>4</w:t>
      </w:r>
      <w:r>
        <w:rPr>
          <w:rFonts w:hint="eastAsia" w:ascii="仿宋" w:hAnsi="仿宋" w:eastAsia="仿宋"/>
          <w:sz w:val="32"/>
          <w:szCs w:val="32"/>
        </w:rPr>
        <w:t>篇获得二等奖，</w:t>
      </w:r>
      <w:r>
        <w:rPr>
          <w:rFonts w:ascii="仿宋" w:hAnsi="仿宋" w:eastAsia="仿宋"/>
          <w:sz w:val="32"/>
          <w:szCs w:val="32"/>
        </w:rPr>
        <w:t>3</w:t>
      </w:r>
      <w:r>
        <w:rPr>
          <w:rFonts w:hint="eastAsia" w:ascii="仿宋" w:hAnsi="仿宋" w:eastAsia="仿宋"/>
          <w:sz w:val="32"/>
          <w:szCs w:val="32"/>
        </w:rPr>
        <w:t>篇获得三等奖。由党校申报的《党员干部培训新形势下上杭红色资源开发与利用的思考研究》荣获</w:t>
      </w:r>
      <w:r>
        <w:rPr>
          <w:rFonts w:ascii="仿宋" w:hAnsi="仿宋" w:eastAsia="仿宋"/>
          <w:sz w:val="32"/>
          <w:szCs w:val="32"/>
        </w:rPr>
        <w:t>2017</w:t>
      </w:r>
      <w:r>
        <w:rPr>
          <w:rFonts w:hint="eastAsia" w:ascii="仿宋" w:hAnsi="仿宋" w:eastAsia="仿宋"/>
          <w:sz w:val="32"/>
          <w:szCs w:val="32"/>
        </w:rPr>
        <w:t>年全省党建重点课题调研成果评选三等奖。</w:t>
      </w:r>
    </w:p>
    <w:p>
      <w:pPr>
        <w:spacing w:line="56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重视加强学术交流。</w:t>
      </w:r>
      <w:r>
        <w:rPr>
          <w:rFonts w:hint="eastAsia" w:ascii="仿宋" w:hAnsi="仿宋" w:eastAsia="仿宋"/>
          <w:sz w:val="32"/>
          <w:szCs w:val="32"/>
        </w:rPr>
        <w:t>重视加强与有关部门的联系，积极参加省市科研协作交流活动。积极踊跃申报福建省委党校、行政学院系统举办的学术年会，</w:t>
      </w:r>
      <w:r>
        <w:rPr>
          <w:rFonts w:ascii="仿宋" w:hAnsi="仿宋" w:eastAsia="仿宋"/>
          <w:sz w:val="32"/>
          <w:szCs w:val="32"/>
        </w:rPr>
        <w:t>2018</w:t>
      </w:r>
      <w:r>
        <w:rPr>
          <w:rFonts w:hint="eastAsia" w:ascii="仿宋" w:hAnsi="仿宋" w:eastAsia="仿宋"/>
          <w:sz w:val="32"/>
          <w:szCs w:val="32"/>
        </w:rPr>
        <w:t>年党校申报学术年会论文</w:t>
      </w:r>
      <w:r>
        <w:rPr>
          <w:rFonts w:ascii="仿宋" w:hAnsi="仿宋" w:eastAsia="仿宋"/>
          <w:sz w:val="32"/>
          <w:szCs w:val="32"/>
        </w:rPr>
        <w:t>5</w:t>
      </w:r>
      <w:r>
        <w:rPr>
          <w:rFonts w:hint="eastAsia" w:ascii="仿宋" w:hAnsi="仿宋" w:eastAsia="仿宋"/>
          <w:sz w:val="32"/>
          <w:szCs w:val="32"/>
        </w:rPr>
        <w:t>篇，入选交流论文数</w:t>
      </w:r>
      <w:r>
        <w:rPr>
          <w:rFonts w:ascii="仿宋" w:hAnsi="仿宋" w:eastAsia="仿宋"/>
          <w:sz w:val="32"/>
          <w:szCs w:val="32"/>
        </w:rPr>
        <w:t>3</w:t>
      </w:r>
      <w:r>
        <w:rPr>
          <w:rFonts w:hint="eastAsia" w:ascii="仿宋" w:hAnsi="仿宋" w:eastAsia="仿宋"/>
          <w:sz w:val="32"/>
          <w:szCs w:val="32"/>
        </w:rPr>
        <w:t>篇，入选论文数居全省县级党校第一。同时，在今年举办的福建省纪念毛泽东才溪乡调查</w:t>
      </w:r>
      <w:r>
        <w:rPr>
          <w:rFonts w:ascii="仿宋" w:hAnsi="仿宋" w:eastAsia="仿宋"/>
          <w:sz w:val="32"/>
          <w:szCs w:val="32"/>
        </w:rPr>
        <w:t>85</w:t>
      </w:r>
      <w:r>
        <w:rPr>
          <w:rFonts w:hint="eastAsia" w:ascii="仿宋" w:hAnsi="仿宋" w:eastAsia="仿宋"/>
          <w:sz w:val="32"/>
          <w:szCs w:val="32"/>
        </w:rPr>
        <w:t>周年理论研讨会中，我校有</w:t>
      </w:r>
      <w:r>
        <w:rPr>
          <w:rFonts w:ascii="仿宋" w:hAnsi="仿宋" w:eastAsia="仿宋"/>
          <w:sz w:val="32"/>
          <w:szCs w:val="32"/>
        </w:rPr>
        <w:t>2</w:t>
      </w:r>
      <w:r>
        <w:rPr>
          <w:rFonts w:hint="eastAsia" w:ascii="仿宋" w:hAnsi="仿宋" w:eastAsia="仿宋"/>
          <w:sz w:val="32"/>
          <w:szCs w:val="32"/>
        </w:rPr>
        <w:t>篇论文入选理论研讨会论文集，有</w:t>
      </w:r>
      <w:r>
        <w:rPr>
          <w:rFonts w:ascii="仿宋" w:hAnsi="仿宋" w:eastAsia="仿宋"/>
          <w:sz w:val="32"/>
          <w:szCs w:val="32"/>
        </w:rPr>
        <w:t>6</w:t>
      </w:r>
      <w:r>
        <w:rPr>
          <w:rFonts w:hint="eastAsia" w:ascii="仿宋" w:hAnsi="仿宋" w:eastAsia="仿宋"/>
          <w:sz w:val="32"/>
          <w:szCs w:val="32"/>
        </w:rPr>
        <w:t>位老师参加了研讨会的专题研讨。与客家族谱馆签订协议，初步提出共建客家文化教研基地合作方案，双方发挥各自人才和资源优势，加强学术研究合作。</w:t>
      </w:r>
    </w:p>
    <w:p>
      <w:pPr>
        <w:spacing w:line="560" w:lineRule="exact"/>
        <w:ind w:firstLine="640" w:firstLineChars="200"/>
        <w:rPr>
          <w:rFonts w:ascii="仿宋" w:hAnsi="仿宋" w:eastAsia="仿宋"/>
          <w:sz w:val="32"/>
          <w:szCs w:val="32"/>
        </w:rPr>
      </w:pPr>
      <w:r>
        <w:rPr>
          <w:rFonts w:ascii="仿宋" w:hAnsi="仿宋" w:eastAsia="仿宋"/>
          <w:kern w:val="0"/>
          <w:sz w:val="32"/>
          <w:szCs w:val="32"/>
        </w:rPr>
        <w:t>3.</w:t>
      </w:r>
      <w:r>
        <w:rPr>
          <w:rFonts w:hint="eastAsia" w:ascii="仿宋" w:hAnsi="仿宋" w:eastAsia="仿宋"/>
          <w:kern w:val="0"/>
          <w:sz w:val="32"/>
          <w:szCs w:val="32"/>
        </w:rPr>
        <w:t>充分发挥资政作用。</w:t>
      </w:r>
      <w:r>
        <w:rPr>
          <w:rFonts w:hint="eastAsia" w:ascii="仿宋" w:hAnsi="仿宋" w:eastAsia="仿宋"/>
          <w:bCs/>
          <w:sz w:val="32"/>
          <w:szCs w:val="32"/>
        </w:rPr>
        <w:t>结合县域社会难点、热点问题开展调查研究，加强县情县策研究，积极为本县经济社会发展建言献策，努力把党校建设成服务党委政府决策的智库。</w:t>
      </w:r>
      <w:r>
        <w:rPr>
          <w:rFonts w:ascii="仿宋" w:hAnsi="仿宋" w:eastAsia="仿宋"/>
          <w:sz w:val="32"/>
          <w:szCs w:val="32"/>
        </w:rPr>
        <w:t>2018</w:t>
      </w:r>
      <w:r>
        <w:rPr>
          <w:rFonts w:hint="eastAsia" w:ascii="仿宋" w:hAnsi="仿宋" w:eastAsia="仿宋"/>
          <w:sz w:val="32"/>
          <w:szCs w:val="32"/>
        </w:rPr>
        <w:t>年积极申报并完成县委党建办组织的“以政治建设为统领</w:t>
      </w:r>
      <w:r>
        <w:rPr>
          <w:rFonts w:ascii="仿宋" w:hAnsi="仿宋" w:eastAsia="仿宋"/>
          <w:sz w:val="32"/>
          <w:szCs w:val="32"/>
        </w:rPr>
        <w:t>,</w:t>
      </w:r>
      <w:r>
        <w:rPr>
          <w:rFonts w:hint="eastAsia" w:ascii="仿宋" w:hAnsi="仿宋" w:eastAsia="仿宋"/>
          <w:sz w:val="32"/>
          <w:szCs w:val="32"/>
        </w:rPr>
        <w:t>全面推进新时代党的建设工作”课题调研。同时充分利用好学员的调研文章为党委政府提供决策参考，今年春季主体班学员论文得到县委傅藏荣书记亲自批阅，其中有</w:t>
      </w:r>
      <w:r>
        <w:rPr>
          <w:rFonts w:ascii="仿宋" w:hAnsi="仿宋" w:eastAsia="仿宋"/>
          <w:sz w:val="32"/>
          <w:szCs w:val="32"/>
        </w:rPr>
        <w:t>19</w:t>
      </w:r>
      <w:r>
        <w:rPr>
          <w:rFonts w:hint="eastAsia" w:ascii="仿宋" w:hAnsi="仿宋" w:eastAsia="仿宋"/>
          <w:sz w:val="32"/>
          <w:szCs w:val="32"/>
        </w:rPr>
        <w:t>篇论文签批给分管县领导，整理秋季主体班学员论文形成决策咨询专报件上报县委县政府主要领导</w:t>
      </w:r>
      <w:r>
        <w:rPr>
          <w:rFonts w:ascii="仿宋" w:hAnsi="仿宋" w:eastAsia="仿宋"/>
          <w:sz w:val="32"/>
          <w:szCs w:val="32"/>
        </w:rPr>
        <w:t>,</w:t>
      </w:r>
      <w:r>
        <w:rPr>
          <w:rFonts w:hint="eastAsia" w:ascii="仿宋" w:hAnsi="仿宋" w:eastAsia="仿宋"/>
          <w:sz w:val="32"/>
          <w:szCs w:val="32"/>
        </w:rPr>
        <w:t>县委傅藏荣书记、县长王波均对专报件作出批示，对我校汇总调研成果给予肯定，并将专报抄送相关领导研究借鉴。</w:t>
      </w:r>
    </w:p>
    <w:p>
      <w:pPr>
        <w:spacing w:line="560" w:lineRule="exact"/>
        <w:ind w:firstLine="640" w:firstLineChars="200"/>
        <w:rPr>
          <w:rFonts w:ascii="仿宋" w:hAnsi="仿宋" w:eastAsia="仿宋"/>
          <w:kern w:val="0"/>
          <w:sz w:val="32"/>
          <w:szCs w:val="32"/>
        </w:rPr>
      </w:pPr>
      <w:r>
        <w:rPr>
          <w:rFonts w:ascii="仿宋" w:hAnsi="仿宋" w:eastAsia="仿宋"/>
          <w:sz w:val="32"/>
          <w:szCs w:val="32"/>
        </w:rPr>
        <w:t>4.</w:t>
      </w:r>
      <w:r>
        <w:rPr>
          <w:rFonts w:hint="eastAsia" w:ascii="仿宋" w:hAnsi="仿宋" w:eastAsia="仿宋"/>
          <w:sz w:val="32"/>
          <w:szCs w:val="32"/>
        </w:rPr>
        <w:t>加强与上级校院及县级党校的工作交流。今年，省委党校、行政学校副校院长姜华一行、龙岩市委党校常务副校院长曾汉辉、市委党校副校院长吴寿勤等领导到我校调研和指导工作，对我校取得的成绩给予了充分肯定。为加强校际间的交流与合作，</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18</w:t>
      </w:r>
      <w:r>
        <w:rPr>
          <w:rFonts w:hint="eastAsia" w:ascii="仿宋" w:hAnsi="仿宋" w:eastAsia="仿宋"/>
          <w:sz w:val="32"/>
          <w:szCs w:val="32"/>
        </w:rPr>
        <w:t>日，由我校承办的山东省县（市、区）委党校和福建省龙岩市、县（市、区）委党校工作交流座谈会在上杭县客家开元大酒店召开。</w:t>
      </w:r>
    </w:p>
    <w:p>
      <w:pPr>
        <w:spacing w:line="560" w:lineRule="exact"/>
        <w:ind w:firstLine="643" w:firstLineChars="200"/>
        <w:rPr>
          <w:rFonts w:ascii="仿宋" w:hAnsi="仿宋" w:eastAsia="仿宋"/>
          <w:b/>
          <w:bCs/>
          <w:kern w:val="0"/>
          <w:sz w:val="32"/>
          <w:szCs w:val="32"/>
        </w:rPr>
      </w:pPr>
      <w:r>
        <w:rPr>
          <w:rFonts w:hint="eastAsia" w:ascii="仿宋" w:hAnsi="仿宋" w:eastAsia="仿宋"/>
          <w:b/>
          <w:bCs/>
          <w:kern w:val="0"/>
          <w:sz w:val="32"/>
          <w:szCs w:val="32"/>
        </w:rPr>
        <w:t>（三）充分发挥红色资源优势，做强做大对外培训教育</w:t>
      </w:r>
    </w:p>
    <w:p>
      <w:pPr>
        <w:autoSpaceDE w:val="0"/>
        <w:autoSpaceDN w:val="0"/>
        <w:adjustRightInd w:val="0"/>
        <w:spacing w:line="560" w:lineRule="exact"/>
        <w:ind w:firstLine="640" w:firstLineChars="200"/>
        <w:rPr>
          <w:rFonts w:ascii="仿宋" w:hAnsi="仿宋" w:eastAsia="仿宋" w:cs="仿宋_GB2312"/>
          <w:color w:val="000000"/>
          <w:kern w:val="0"/>
          <w:sz w:val="32"/>
          <w:szCs w:val="32"/>
        </w:rPr>
      </w:pPr>
      <w:r>
        <w:rPr>
          <w:rFonts w:ascii="仿宋" w:hAnsi="仿宋" w:eastAsia="仿宋"/>
          <w:sz w:val="32"/>
          <w:szCs w:val="32"/>
        </w:rPr>
        <w:t>1.</w:t>
      </w:r>
      <w:r>
        <w:rPr>
          <w:rFonts w:hint="eastAsia" w:ascii="仿宋" w:hAnsi="仿宋" w:eastAsia="仿宋"/>
          <w:sz w:val="32"/>
          <w:szCs w:val="32"/>
        </w:rPr>
        <w:t>整合红色教学资源。</w:t>
      </w:r>
      <w:r>
        <w:rPr>
          <w:rFonts w:ascii="仿宋" w:hAnsi="仿宋" w:eastAsia="仿宋"/>
          <w:sz w:val="32"/>
          <w:szCs w:val="32"/>
        </w:rPr>
        <w:t>2014</w:t>
      </w:r>
      <w:r>
        <w:rPr>
          <w:rFonts w:hint="eastAsia" w:ascii="仿宋" w:hAnsi="仿宋" w:eastAsia="仿宋"/>
          <w:sz w:val="32"/>
          <w:szCs w:val="32"/>
        </w:rPr>
        <w:t>年全军政治工作会议即“新古田会议”召开后，古田成为全国各地各级党校和党政机关、国家企事业单位开展党性教育的首选地。为适应当前党员干部的培训需求，我校</w:t>
      </w:r>
      <w:r>
        <w:rPr>
          <w:rFonts w:hint="eastAsia" w:ascii="仿宋" w:hAnsi="仿宋" w:eastAsia="仿宋" w:cs="宋体"/>
          <w:sz w:val="32"/>
          <w:szCs w:val="32"/>
        </w:rPr>
        <w:t>充分利用和有效整合古田会议会址、毛泽东才溪乡调查旧址等我县丰富的红色资源，以两次</w:t>
      </w:r>
      <w:r>
        <w:rPr>
          <w:rFonts w:hint="eastAsia" w:ascii="仿宋" w:hAnsi="仿宋" w:eastAsia="仿宋"/>
          <w:sz w:val="32"/>
          <w:szCs w:val="32"/>
        </w:rPr>
        <w:t>“古田会议”为优势，积极打造以古田、才溪为特色的红色培训品牌。我校</w:t>
      </w:r>
      <w:r>
        <w:rPr>
          <w:rFonts w:hint="eastAsia" w:ascii="仿宋" w:hAnsi="仿宋" w:eastAsia="仿宋" w:cs="宋体"/>
          <w:sz w:val="32"/>
          <w:szCs w:val="32"/>
        </w:rPr>
        <w:t>紧紧依托闽西厚重的红色历史文化，打造特色现场教学点，挖掘红色乡土培训教材，培育精品特色课程，</w:t>
      </w:r>
      <w:r>
        <w:rPr>
          <w:rFonts w:hint="eastAsia" w:ascii="仿宋" w:hAnsi="仿宋" w:eastAsia="仿宋" w:cs="仿宋_GB2312"/>
          <w:color w:val="000000"/>
          <w:kern w:val="0"/>
          <w:sz w:val="32"/>
          <w:szCs w:val="32"/>
        </w:rPr>
        <w:t>实现了红色资源向教学资源的转化，打造了党员干部党性锻炼、理想信念教育特色培训课堂。</w:t>
      </w:r>
    </w:p>
    <w:p>
      <w:pPr>
        <w:autoSpaceDE w:val="0"/>
        <w:autoSpaceDN w:val="0"/>
        <w:adjustRightInd w:val="0"/>
        <w:spacing w:line="560" w:lineRule="exact"/>
        <w:ind w:firstLine="640" w:firstLineChars="200"/>
        <w:rPr>
          <w:rFonts w:ascii="仿宋" w:hAnsi="仿宋" w:eastAsia="仿宋" w:cs="仿宋_GB2312"/>
          <w:color w:val="000000"/>
          <w:kern w:val="0"/>
          <w:sz w:val="32"/>
          <w:szCs w:val="32"/>
        </w:rPr>
      </w:pPr>
      <w:r>
        <w:rPr>
          <w:rFonts w:ascii="仿宋" w:hAnsi="仿宋" w:eastAsia="仿宋" w:cs="仿宋_GB2312"/>
          <w:color w:val="000000"/>
          <w:kern w:val="0"/>
          <w:sz w:val="32"/>
          <w:szCs w:val="32"/>
        </w:rPr>
        <w:t>2.</w:t>
      </w:r>
      <w:r>
        <w:rPr>
          <w:rFonts w:hint="eastAsia" w:ascii="仿宋" w:hAnsi="仿宋" w:eastAsia="仿宋" w:cs="仿宋_GB2312"/>
          <w:color w:val="000000"/>
          <w:kern w:val="0"/>
          <w:sz w:val="32"/>
          <w:szCs w:val="32"/>
        </w:rPr>
        <w:t>加大对外宣传力度。为了吸引更多的省内外单位及央企国企到古田、上杭接受党性教育和参加红色研学旅游活动，今年</w:t>
      </w:r>
      <w:r>
        <w:rPr>
          <w:rFonts w:ascii="仿宋" w:hAnsi="仿宋" w:eastAsia="仿宋" w:cs="仿宋_GB2312"/>
          <w:color w:val="000000"/>
          <w:kern w:val="0"/>
          <w:sz w:val="32"/>
          <w:szCs w:val="32"/>
        </w:rPr>
        <w:t>10</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18</w:t>
      </w:r>
      <w:r>
        <w:rPr>
          <w:rFonts w:hint="eastAsia" w:ascii="仿宋" w:hAnsi="仿宋" w:eastAsia="仿宋" w:cs="仿宋_GB2312"/>
          <w:color w:val="000000"/>
          <w:kern w:val="0"/>
          <w:sz w:val="32"/>
          <w:szCs w:val="32"/>
        </w:rPr>
        <w:t>日</w:t>
      </w:r>
      <w:r>
        <w:rPr>
          <w:rFonts w:ascii="仿宋" w:hAnsi="仿宋" w:eastAsia="仿宋" w:cs="仿宋_GB2312"/>
          <w:color w:val="000000"/>
          <w:kern w:val="0"/>
          <w:sz w:val="32"/>
          <w:szCs w:val="32"/>
        </w:rPr>
        <w:t>-19</w:t>
      </w:r>
      <w:r>
        <w:rPr>
          <w:rFonts w:hint="eastAsia" w:ascii="仿宋" w:hAnsi="仿宋" w:eastAsia="仿宋" w:cs="仿宋_GB2312"/>
          <w:color w:val="000000"/>
          <w:kern w:val="0"/>
          <w:sz w:val="32"/>
          <w:szCs w:val="32"/>
        </w:rPr>
        <w:t>日我县举办了“红色教育项目推介会”，邀请了龙岩市委党校、古田干部学院、周边县（市、区）委组织部、党校相关领导及部门负责人、培训机构和部分旅行社负责人参加会议，并取得良好收效。</w:t>
      </w:r>
    </w:p>
    <w:p>
      <w:pPr>
        <w:tabs>
          <w:tab w:val="left" w:pos="688"/>
        </w:tabs>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打造特色现场教学点。为了</w:t>
      </w:r>
      <w:r>
        <w:rPr>
          <w:rFonts w:hint="eastAsia" w:ascii="仿宋" w:hAnsi="仿宋" w:eastAsia="仿宋"/>
          <w:color w:val="000000"/>
          <w:sz w:val="32"/>
          <w:szCs w:val="32"/>
          <w:shd w:val="clear" w:color="auto" w:fill="FFFFFF"/>
        </w:rPr>
        <w:t>充分利用好我县丰富的资源，讲好上杭故事，打造党性教育精品牌，</w:t>
      </w:r>
      <w:r>
        <w:rPr>
          <w:rFonts w:hint="eastAsia" w:ascii="仿宋" w:hAnsi="仿宋" w:eastAsia="仿宋"/>
          <w:sz w:val="32"/>
          <w:szCs w:val="32"/>
        </w:rPr>
        <w:t>我校充分整合县内现场教学资源，除古田、才溪外，深入挖掘我县其他特色教学资源，</w:t>
      </w:r>
      <w:r>
        <w:rPr>
          <w:rFonts w:hint="eastAsia" w:ascii="仿宋" w:hAnsi="仿宋" w:eastAsia="仿宋" w:cs="宋体"/>
          <w:kern w:val="0"/>
          <w:sz w:val="32"/>
          <w:szCs w:val="32"/>
        </w:rPr>
        <w:t>经过深入细致调查、走访、实地察看、反复论证，根据“成熟一批、打造一批、挂牌一批”的原则，</w:t>
      </w:r>
      <w:r>
        <w:rPr>
          <w:rFonts w:ascii="仿宋" w:hAnsi="仿宋" w:eastAsia="仿宋" w:cs="宋体"/>
          <w:kern w:val="0"/>
          <w:sz w:val="32"/>
          <w:szCs w:val="32"/>
        </w:rPr>
        <w:t>2017</w:t>
      </w:r>
      <w:r>
        <w:rPr>
          <w:rFonts w:hint="eastAsia" w:ascii="仿宋" w:hAnsi="仿宋" w:eastAsia="仿宋" w:cs="宋体"/>
          <w:kern w:val="0"/>
          <w:sz w:val="32"/>
          <w:szCs w:val="32"/>
        </w:rPr>
        <w:t>年筛选出临江楼、县博物馆、客家族谱博物馆、上杭瓦子街、古田苏家坡、中共闽西“一大”会址</w:t>
      </w:r>
      <w:r>
        <w:rPr>
          <w:rFonts w:ascii="仿宋" w:hAnsi="仿宋" w:eastAsia="仿宋" w:cs="宋体"/>
          <w:kern w:val="0"/>
          <w:sz w:val="32"/>
          <w:szCs w:val="32"/>
        </w:rPr>
        <w:t>——</w:t>
      </w:r>
      <w:r>
        <w:rPr>
          <w:rFonts w:hint="eastAsia" w:ascii="仿宋" w:hAnsi="仿宋" w:eastAsia="仿宋" w:cs="宋体"/>
          <w:kern w:val="0"/>
          <w:sz w:val="32"/>
          <w:szCs w:val="32"/>
        </w:rPr>
        <w:t>蛟洋文昌阁、陈丕显故居、才溪发坑村、稔田连四村等</w:t>
      </w:r>
      <w:r>
        <w:rPr>
          <w:rFonts w:ascii="仿宋" w:hAnsi="仿宋" w:eastAsia="仿宋" w:cs="宋体"/>
          <w:kern w:val="0"/>
          <w:sz w:val="32"/>
          <w:szCs w:val="32"/>
        </w:rPr>
        <w:t>9</w:t>
      </w:r>
      <w:r>
        <w:rPr>
          <w:rFonts w:hint="eastAsia" w:ascii="仿宋" w:hAnsi="仿宋" w:eastAsia="仿宋" w:cs="宋体"/>
          <w:kern w:val="0"/>
          <w:sz w:val="32"/>
          <w:szCs w:val="32"/>
        </w:rPr>
        <w:t>个比较成熟的特色点作为新一批党员干部教育现场教学点予以挂牌。今年组织部将汀江绿道列为上杭县党员干部教育现场教学点。</w:t>
      </w:r>
    </w:p>
    <w:p>
      <w:pPr>
        <w:spacing w:line="560" w:lineRule="exact"/>
        <w:ind w:firstLine="640" w:firstLineChars="200"/>
        <w:rPr>
          <w:rFonts w:ascii="仿宋" w:hAnsi="仿宋" w:eastAsia="仿宋"/>
          <w:sz w:val="32"/>
          <w:szCs w:val="32"/>
        </w:rPr>
      </w:pPr>
      <w:r>
        <w:rPr>
          <w:rFonts w:ascii="仿宋" w:hAnsi="仿宋" w:eastAsia="仿宋"/>
          <w:color w:val="000000"/>
          <w:sz w:val="32"/>
          <w:szCs w:val="32"/>
          <w:shd w:val="clear" w:color="auto" w:fill="FFFFFF"/>
        </w:rPr>
        <w:t>4.</w:t>
      </w:r>
      <w:r>
        <w:rPr>
          <w:rFonts w:hint="eastAsia" w:ascii="仿宋" w:hAnsi="仿宋" w:eastAsia="仿宋"/>
          <w:color w:val="000000"/>
          <w:sz w:val="32"/>
          <w:szCs w:val="32"/>
          <w:shd w:val="clear" w:color="auto" w:fill="FFFFFF"/>
        </w:rPr>
        <w:t>培育精品特色课程。</w:t>
      </w:r>
      <w:r>
        <w:rPr>
          <w:rFonts w:hint="eastAsia" w:ascii="仿宋" w:hAnsi="仿宋" w:eastAsia="仿宋"/>
          <w:sz w:val="32"/>
          <w:szCs w:val="32"/>
        </w:rPr>
        <w:t>为了充分发挥上杭红色资源优势，讲好上杭红色故事，开展好“红色基因”教育，我校着力在特色课程开发上下功夫，目前开发的特色课程有《古田会议</w:t>
      </w:r>
      <w:r>
        <w:rPr>
          <w:rFonts w:ascii="仿宋" w:hAnsi="仿宋" w:eastAsia="仿宋"/>
          <w:sz w:val="32"/>
          <w:szCs w:val="32"/>
        </w:rPr>
        <w:t xml:space="preserve"> </w:t>
      </w:r>
      <w:r>
        <w:rPr>
          <w:rFonts w:hint="eastAsia" w:ascii="仿宋" w:hAnsi="仿宋" w:eastAsia="仿宋"/>
          <w:sz w:val="32"/>
          <w:szCs w:val="32"/>
        </w:rPr>
        <w:t>光耀千秋》《古田红土地记忆》《古田会议召开前后的红土智慧》《古田会议</w:t>
      </w:r>
      <w:r>
        <w:rPr>
          <w:rFonts w:ascii="仿宋" w:hAnsi="仿宋" w:eastAsia="仿宋"/>
          <w:sz w:val="32"/>
          <w:szCs w:val="32"/>
        </w:rPr>
        <w:t>——</w:t>
      </w:r>
      <w:r>
        <w:rPr>
          <w:rFonts w:hint="eastAsia" w:ascii="仿宋" w:hAnsi="仿宋" w:eastAsia="仿宋"/>
          <w:sz w:val="32"/>
          <w:szCs w:val="32"/>
        </w:rPr>
        <w:t>建党建军史上的里程碑》《</w:t>
      </w:r>
      <w:r>
        <w:rPr>
          <w:rFonts w:hint="eastAsia" w:ascii="仿宋" w:hAnsi="仿宋" w:eastAsia="仿宋"/>
          <w:color w:val="000000"/>
          <w:sz w:val="32"/>
          <w:szCs w:val="32"/>
        </w:rPr>
        <w:t>汲取红土智慧，从上杭再出发</w:t>
      </w:r>
      <w:r>
        <w:rPr>
          <w:rFonts w:hint="eastAsia" w:ascii="仿宋" w:hAnsi="仿宋" w:eastAsia="仿宋"/>
          <w:sz w:val="32"/>
          <w:szCs w:val="32"/>
        </w:rPr>
        <w:t>》《红色上杭</w:t>
      </w:r>
      <w:r>
        <w:rPr>
          <w:rFonts w:ascii="仿宋" w:hAnsi="仿宋" w:eastAsia="仿宋"/>
          <w:sz w:val="32"/>
          <w:szCs w:val="32"/>
        </w:rPr>
        <w:t xml:space="preserve"> </w:t>
      </w:r>
      <w:r>
        <w:rPr>
          <w:rFonts w:hint="eastAsia" w:ascii="仿宋" w:hAnsi="仿宋" w:eastAsia="仿宋"/>
          <w:sz w:val="32"/>
          <w:szCs w:val="32"/>
        </w:rPr>
        <w:t>永恒记忆》《调查研究工作的典范</w:t>
      </w:r>
      <w:r>
        <w:rPr>
          <w:rFonts w:ascii="仿宋" w:hAnsi="仿宋" w:eastAsia="仿宋"/>
          <w:sz w:val="32"/>
          <w:szCs w:val="32"/>
        </w:rPr>
        <w:t>—</w:t>
      </w:r>
      <w:r>
        <w:rPr>
          <w:rFonts w:hint="eastAsia" w:ascii="仿宋" w:hAnsi="仿宋" w:eastAsia="仿宋"/>
          <w:sz w:val="32"/>
          <w:szCs w:val="32"/>
        </w:rPr>
        <w:t>毛泽东才溪乡调查》《</w:t>
      </w:r>
      <w:r>
        <w:rPr>
          <w:rFonts w:hint="eastAsia" w:ascii="仿宋" w:hAnsi="仿宋" w:eastAsia="仿宋"/>
          <w:sz w:val="32"/>
          <w:szCs w:val="32"/>
          <w:lang w:val="zh-CN"/>
        </w:rPr>
        <w:t>光荣才溪</w:t>
      </w:r>
      <w:r>
        <w:rPr>
          <w:rFonts w:ascii="仿宋" w:hAnsi="仿宋" w:eastAsia="仿宋"/>
          <w:sz w:val="32"/>
          <w:szCs w:val="32"/>
          <w:lang w:val="zh-CN"/>
        </w:rPr>
        <w:t xml:space="preserve"> </w:t>
      </w:r>
      <w:r>
        <w:rPr>
          <w:rFonts w:hint="eastAsia" w:ascii="仿宋" w:hAnsi="仿宋" w:eastAsia="仿宋"/>
          <w:sz w:val="32"/>
          <w:szCs w:val="32"/>
          <w:lang w:val="zh-CN"/>
        </w:rPr>
        <w:t>建政典范</w:t>
      </w:r>
      <w:r>
        <w:rPr>
          <w:rFonts w:hint="eastAsia" w:ascii="仿宋" w:hAnsi="仿宋" w:eastAsia="仿宋"/>
          <w:sz w:val="32"/>
          <w:szCs w:val="32"/>
        </w:rPr>
        <w:t>》《闽西与中国革命》《闽西在中国革命史上的贡献》</w:t>
      </w:r>
      <w:r>
        <w:rPr>
          <w:rFonts w:hint="eastAsia" w:ascii="仿宋" w:hAnsi="仿宋" w:eastAsia="仿宋"/>
          <w:color w:val="000000"/>
          <w:sz w:val="32"/>
          <w:szCs w:val="32"/>
          <w:shd w:val="clear" w:color="auto" w:fill="FFFFFF"/>
        </w:rPr>
        <w:t>《闽西苏区的革命动员与中国共产党的意识形态建构》</w:t>
      </w:r>
      <w:r>
        <w:rPr>
          <w:rFonts w:hint="eastAsia" w:ascii="仿宋" w:hAnsi="仿宋" w:eastAsia="仿宋"/>
          <w:sz w:val="32"/>
          <w:szCs w:val="32"/>
        </w:rPr>
        <w:t>等精品特色课程。</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规范对外培训业务。一是制定科学规范的教学行程，尽量让每一位来杭培训的外地学员能充分了解闽西的红色历史和特色文化，真正达到培训目的和增强培训实效。二是完善对外培训工作制度。每个月召开一次外培工作会议专题研究对外培训工作。制定了规范的接班流程。为了规范对外培训工作，防控政治风险和安全隐患，实行行程（含住宿、用车、课程安排）审批制度、带班审批制度、一班一结等制度。办班过程中严格执行中央八项规定和中组部《关于在干部教育培训中进一步加强学员管理的规定》，严肃培训纪律。三是严格挑选带班老师，我校外培班带班老师均从我校外培中心和从事教学的专职教师及兴诚教育培训公司招聘的经过上岗培训后的人员中挑选。四是外培班账目实行严格监管和审批，实行一班一清，外培收费项目严格按照《中央和国家机关培训费管理办法》和《福建省省直机关培训费管理办法》的规定，参照市委党校收费标准及市场价格，并提交校委会集体研究。</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对外培训实行公司化运作。为了做强做大我县红色教育培训产业，为我县第三产业作贡献，去年根据县委要求，依托我县国有公司兴诚实业有限公司成立上杭县兴诚教育培训咨询服务有限公司（二级子公司）承接党校对外培训业务，由党校向公司购买社会化服务（含住宿、伙食、交通、场地租赁、师资、培训资料、现场教学点教学服务、带班服务、设备租赁等），从今年</w:t>
      </w:r>
      <w:r>
        <w:rPr>
          <w:rFonts w:ascii="仿宋" w:hAnsi="仿宋" w:eastAsia="仿宋"/>
          <w:sz w:val="32"/>
          <w:szCs w:val="32"/>
        </w:rPr>
        <w:t>3</w:t>
      </w:r>
      <w:r>
        <w:rPr>
          <w:rFonts w:hint="eastAsia" w:ascii="仿宋" w:hAnsi="仿宋" w:eastAsia="仿宋"/>
          <w:sz w:val="32"/>
          <w:szCs w:val="32"/>
        </w:rPr>
        <w:t>月份开始，我校与兴诚教育培训公司正式合作，并签订了《购买服务协议》。</w:t>
      </w:r>
    </w:p>
    <w:p>
      <w:pPr>
        <w:spacing w:line="56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对外培训成效明显。</w:t>
      </w:r>
      <w:r>
        <w:rPr>
          <w:rFonts w:hint="eastAsia" w:ascii="仿宋" w:hAnsi="仿宋" w:eastAsia="仿宋" w:cs="宋体"/>
          <w:sz w:val="32"/>
          <w:szCs w:val="32"/>
        </w:rPr>
        <w:t>上杭</w:t>
      </w:r>
      <w:r>
        <w:rPr>
          <w:rFonts w:hint="eastAsia" w:ascii="仿宋" w:hAnsi="仿宋" w:eastAsia="仿宋"/>
          <w:sz w:val="32"/>
          <w:szCs w:val="32"/>
        </w:rPr>
        <w:t>县委党校从</w:t>
      </w:r>
      <w:r>
        <w:rPr>
          <w:rFonts w:ascii="仿宋" w:hAnsi="仿宋" w:eastAsia="仿宋"/>
          <w:sz w:val="32"/>
          <w:szCs w:val="32"/>
        </w:rPr>
        <w:t>2014</w:t>
      </w:r>
      <w:r>
        <w:rPr>
          <w:rFonts w:hint="eastAsia" w:ascii="仿宋" w:hAnsi="仿宋" w:eastAsia="仿宋"/>
          <w:sz w:val="32"/>
          <w:szCs w:val="32"/>
        </w:rPr>
        <w:t>年开始承接对外培训班以来，迄今共承接全国</w:t>
      </w:r>
      <w:r>
        <w:rPr>
          <w:rFonts w:ascii="仿宋" w:hAnsi="仿宋" w:eastAsia="仿宋"/>
          <w:sz w:val="32"/>
          <w:szCs w:val="32"/>
        </w:rPr>
        <w:t>12</w:t>
      </w:r>
      <w:r>
        <w:rPr>
          <w:rFonts w:hint="eastAsia" w:ascii="仿宋" w:hAnsi="仿宋" w:eastAsia="仿宋"/>
          <w:sz w:val="32"/>
          <w:szCs w:val="32"/>
        </w:rPr>
        <w:t>个省份党校系统、党政机关、企事业单位（其中民航系统累计超过</w:t>
      </w:r>
      <w:r>
        <w:rPr>
          <w:rFonts w:ascii="仿宋" w:hAnsi="仿宋" w:eastAsia="仿宋"/>
          <w:sz w:val="32"/>
          <w:szCs w:val="32"/>
        </w:rPr>
        <w:t>3000</w:t>
      </w:r>
      <w:r>
        <w:rPr>
          <w:rFonts w:hint="eastAsia" w:ascii="仿宋" w:hAnsi="仿宋" w:eastAsia="仿宋"/>
          <w:sz w:val="32"/>
          <w:szCs w:val="32"/>
        </w:rPr>
        <w:t>人次）党性教育培训班</w:t>
      </w:r>
      <w:r>
        <w:rPr>
          <w:rFonts w:ascii="仿宋" w:hAnsi="仿宋" w:eastAsia="仿宋"/>
          <w:sz w:val="32"/>
          <w:szCs w:val="32"/>
        </w:rPr>
        <w:t>300</w:t>
      </w:r>
      <w:r>
        <w:rPr>
          <w:rFonts w:hint="eastAsia" w:ascii="仿宋" w:hAnsi="仿宋" w:eastAsia="仿宋"/>
          <w:sz w:val="32"/>
          <w:szCs w:val="32"/>
        </w:rPr>
        <w:t>多个班次近</w:t>
      </w:r>
      <w:r>
        <w:rPr>
          <w:rFonts w:ascii="仿宋" w:hAnsi="仿宋" w:eastAsia="仿宋"/>
          <w:sz w:val="32"/>
          <w:szCs w:val="32"/>
        </w:rPr>
        <w:t>20000</w:t>
      </w:r>
      <w:r>
        <w:rPr>
          <w:rFonts w:hint="eastAsia" w:ascii="仿宋" w:hAnsi="仿宋" w:eastAsia="仿宋"/>
          <w:sz w:val="32"/>
          <w:szCs w:val="32"/>
        </w:rPr>
        <w:t>人次，其中</w:t>
      </w:r>
      <w:r>
        <w:rPr>
          <w:rFonts w:ascii="仿宋" w:hAnsi="仿宋" w:eastAsia="仿宋"/>
          <w:sz w:val="32"/>
          <w:szCs w:val="32"/>
        </w:rPr>
        <w:t>2017</w:t>
      </w:r>
      <w:r>
        <w:rPr>
          <w:rFonts w:hint="eastAsia" w:ascii="仿宋" w:hAnsi="仿宋" w:eastAsia="仿宋"/>
          <w:sz w:val="32"/>
          <w:szCs w:val="32"/>
        </w:rPr>
        <w:t>年承接了</w:t>
      </w:r>
      <w:r>
        <w:rPr>
          <w:rFonts w:ascii="仿宋" w:hAnsi="仿宋" w:eastAsia="仿宋"/>
          <w:sz w:val="32"/>
          <w:szCs w:val="32"/>
        </w:rPr>
        <w:t>129</w:t>
      </w:r>
      <w:r>
        <w:rPr>
          <w:rFonts w:hint="eastAsia" w:ascii="仿宋" w:hAnsi="仿宋" w:eastAsia="仿宋"/>
          <w:sz w:val="32"/>
          <w:szCs w:val="32"/>
        </w:rPr>
        <w:t>个班次，培训人数约</w:t>
      </w:r>
      <w:r>
        <w:rPr>
          <w:rFonts w:ascii="仿宋" w:hAnsi="仿宋" w:eastAsia="仿宋"/>
          <w:sz w:val="32"/>
          <w:szCs w:val="32"/>
        </w:rPr>
        <w:t>5500</w:t>
      </w:r>
      <w:r>
        <w:rPr>
          <w:rFonts w:hint="eastAsia" w:ascii="仿宋" w:hAnsi="仿宋" w:eastAsia="仿宋"/>
          <w:sz w:val="32"/>
          <w:szCs w:val="32"/>
        </w:rPr>
        <w:t>人次，今年承接了</w:t>
      </w:r>
      <w:r>
        <w:rPr>
          <w:rFonts w:ascii="仿宋" w:hAnsi="仿宋" w:eastAsia="仿宋"/>
          <w:sz w:val="32"/>
          <w:szCs w:val="32"/>
        </w:rPr>
        <w:t>158</w:t>
      </w:r>
      <w:r>
        <w:rPr>
          <w:rFonts w:hint="eastAsia" w:ascii="仿宋" w:hAnsi="仿宋" w:eastAsia="仿宋"/>
          <w:sz w:val="32"/>
          <w:szCs w:val="32"/>
        </w:rPr>
        <w:t>个班次，培训人数约</w:t>
      </w:r>
      <w:r>
        <w:rPr>
          <w:rFonts w:ascii="仿宋" w:hAnsi="仿宋" w:eastAsia="仿宋"/>
          <w:sz w:val="32"/>
          <w:szCs w:val="32"/>
        </w:rPr>
        <w:t>8000</w:t>
      </w:r>
      <w:r>
        <w:rPr>
          <w:rFonts w:hint="eastAsia" w:ascii="仿宋" w:hAnsi="仿宋" w:eastAsia="仿宋"/>
          <w:sz w:val="32"/>
          <w:szCs w:val="32"/>
        </w:rPr>
        <w:t>人次。党校对外培训业务的开展，不仅带动了我县乃至全市第三产业旅游业、</w:t>
      </w:r>
      <w:r>
        <w:rPr>
          <w:rFonts w:hint="eastAsia" w:ascii="仿宋" w:hAnsi="仿宋" w:eastAsia="仿宋" w:cs="宋体"/>
          <w:sz w:val="32"/>
          <w:szCs w:val="32"/>
        </w:rPr>
        <w:t>餐饮住宿、交通</w:t>
      </w:r>
      <w:r>
        <w:rPr>
          <w:rFonts w:hint="eastAsia" w:ascii="仿宋" w:hAnsi="仿宋" w:eastAsia="仿宋" w:cs="宋体"/>
          <w:color w:val="000000"/>
          <w:sz w:val="32"/>
          <w:szCs w:val="32"/>
        </w:rPr>
        <w:t>运输业等</w:t>
      </w:r>
      <w:r>
        <w:rPr>
          <w:rFonts w:hint="eastAsia" w:ascii="仿宋" w:hAnsi="仿宋" w:eastAsia="仿宋"/>
          <w:color w:val="000000"/>
          <w:sz w:val="32"/>
          <w:szCs w:val="32"/>
        </w:rPr>
        <w:t>的发展，也</w:t>
      </w:r>
      <w:r>
        <w:rPr>
          <w:rFonts w:hint="eastAsia" w:ascii="仿宋" w:hAnsi="仿宋" w:eastAsia="仿宋"/>
          <w:sz w:val="32"/>
          <w:szCs w:val="32"/>
        </w:rPr>
        <w:t>提升了上杭作为群众路线重要发源地和红色革命传统教育基地的影响力，也使党校成为讲好上杭故事、宣传上杭、提升上杭知名度和扩大影响力的一个重要窗口和平台。</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（四）充分利用党校发展的良好机遇，着力改善办学条件</w:t>
      </w:r>
    </w:p>
    <w:p>
      <w:pPr>
        <w:autoSpaceDE w:val="0"/>
        <w:autoSpaceDN w:val="0"/>
        <w:adjustRightInd w:val="0"/>
        <w:spacing w:line="560" w:lineRule="exact"/>
        <w:ind w:firstLine="640" w:firstLineChars="200"/>
        <w:rPr>
          <w:rFonts w:ascii="仿宋" w:hAnsi="仿宋" w:eastAsia="仿宋" w:cs="宋体"/>
          <w:kern w:val="0"/>
          <w:sz w:val="32"/>
          <w:szCs w:val="32"/>
          <w:lang w:val="zh-CN"/>
        </w:rPr>
      </w:pPr>
      <w:r>
        <w:rPr>
          <w:rFonts w:hint="eastAsia" w:ascii="仿宋" w:hAnsi="仿宋" w:eastAsia="仿宋"/>
          <w:sz w:val="32"/>
          <w:szCs w:val="32"/>
        </w:rPr>
        <w:t>县委高度重视党校工作，</w:t>
      </w:r>
      <w:r>
        <w:rPr>
          <w:rFonts w:hint="eastAsia" w:ascii="仿宋" w:hAnsi="仿宋" w:eastAsia="仿宋" w:cs="宋体"/>
          <w:sz w:val="32"/>
          <w:szCs w:val="32"/>
        </w:rPr>
        <w:t>把党校工作纳入党委整体工作部署和党建工作总体安排，</w:t>
      </w:r>
      <w:r>
        <w:rPr>
          <w:rFonts w:hint="eastAsia" w:ascii="仿宋" w:hAnsi="仿宋" w:eastAsia="仿宋"/>
          <w:sz w:val="32"/>
          <w:szCs w:val="32"/>
        </w:rPr>
        <w:t>坚持党委办党校、党委</w:t>
      </w:r>
      <w:r>
        <w:rPr>
          <w:rFonts w:hint="eastAsia" w:ascii="仿宋" w:hAnsi="仿宋" w:eastAsia="仿宋" w:cs="宋体"/>
          <w:sz w:val="32"/>
          <w:szCs w:val="32"/>
        </w:rPr>
        <w:t>管党校、党委建党校的原则，</w:t>
      </w:r>
      <w:r>
        <w:rPr>
          <w:rFonts w:hint="eastAsia" w:ascii="仿宋" w:hAnsi="仿宋" w:eastAsia="仿宋"/>
          <w:sz w:val="32"/>
          <w:szCs w:val="32"/>
        </w:rPr>
        <w:t>县委常委会多次研究党校工作，通过了《中共上杭县委关于加强和改进新形势下党校工作的实施意见》，</w:t>
      </w:r>
      <w:r>
        <w:rPr>
          <w:rFonts w:hint="eastAsia" w:ascii="仿宋" w:hAnsi="仿宋" w:eastAsia="仿宋" w:cs="宋体"/>
          <w:sz w:val="32"/>
          <w:szCs w:val="32"/>
        </w:rPr>
        <w:t>积极争取市委同意保留上杭县委党校现有办学格局，不予并入市委党校，并同意上杭县委党校异地新建。</w:t>
      </w:r>
      <w:r>
        <w:rPr>
          <w:rFonts w:ascii="仿宋" w:hAnsi="仿宋" w:eastAsia="仿宋" w:cs="宋体"/>
          <w:sz w:val="32"/>
          <w:szCs w:val="32"/>
        </w:rPr>
        <w:t>2018</w:t>
      </w:r>
      <w:r>
        <w:rPr>
          <w:rFonts w:hint="eastAsia" w:ascii="仿宋" w:hAnsi="仿宋" w:eastAsia="仿宋" w:cs="宋体"/>
          <w:sz w:val="32"/>
          <w:szCs w:val="32"/>
        </w:rPr>
        <w:t>年党校（含进校、电大）迁建项目正式启动，</w:t>
      </w:r>
      <w:r>
        <w:rPr>
          <w:rFonts w:hint="eastAsia" w:ascii="仿宋" w:hAnsi="仿宋" w:eastAsia="仿宋"/>
          <w:sz w:val="32"/>
          <w:szCs w:val="32"/>
        </w:rPr>
        <w:t>迁建项目名称为“上杭县党员干部继续教育基地”，选址龙翔大道新实验中学西北侧</w:t>
      </w:r>
      <w:r>
        <w:rPr>
          <w:rFonts w:ascii="仿宋" w:hAnsi="仿宋" w:eastAsia="仿宋"/>
          <w:sz w:val="32"/>
          <w:szCs w:val="32"/>
        </w:rPr>
        <w:t>,</w:t>
      </w:r>
      <w:r>
        <w:rPr>
          <w:rFonts w:hint="eastAsia" w:ascii="仿宋" w:hAnsi="仿宋" w:eastAsia="仿宋"/>
          <w:sz w:val="32"/>
          <w:szCs w:val="32"/>
        </w:rPr>
        <w:t>占地面积</w:t>
      </w:r>
      <w:r>
        <w:rPr>
          <w:rFonts w:ascii="仿宋" w:hAnsi="仿宋" w:eastAsia="仿宋"/>
          <w:sz w:val="32"/>
          <w:szCs w:val="32"/>
        </w:rPr>
        <w:t>58.5</w:t>
      </w:r>
      <w:r>
        <w:rPr>
          <w:rFonts w:hint="eastAsia" w:ascii="仿宋" w:hAnsi="仿宋" w:eastAsia="仿宋"/>
          <w:sz w:val="32"/>
          <w:szCs w:val="32"/>
        </w:rPr>
        <w:t>亩</w:t>
      </w:r>
      <w:r>
        <w:rPr>
          <w:rFonts w:ascii="仿宋" w:hAnsi="仿宋" w:eastAsia="仿宋"/>
          <w:sz w:val="32"/>
          <w:szCs w:val="32"/>
        </w:rPr>
        <w:t>,</w:t>
      </w:r>
      <w:r>
        <w:rPr>
          <w:rFonts w:hint="eastAsia" w:ascii="仿宋" w:hAnsi="仿宋" w:eastAsia="仿宋" w:cs="仿宋"/>
          <w:kern w:val="0"/>
          <w:sz w:val="32"/>
          <w:szCs w:val="32"/>
          <w:lang w:val="zh-CN"/>
        </w:rPr>
        <w:t>总建筑面积约</w:t>
      </w:r>
      <w:r>
        <w:rPr>
          <w:rFonts w:ascii="仿宋" w:hAnsi="仿宋" w:eastAsia="仿宋" w:cs="仿宋"/>
          <w:kern w:val="0"/>
          <w:sz w:val="32"/>
          <w:szCs w:val="32"/>
          <w:lang w:val="zh-CN"/>
        </w:rPr>
        <w:t>46110</w:t>
      </w:r>
      <w:r>
        <w:rPr>
          <w:rFonts w:hint="eastAsia" w:ascii="仿宋" w:hAnsi="仿宋" w:eastAsia="仿宋" w:cs="仿宋"/>
          <w:kern w:val="0"/>
          <w:sz w:val="32"/>
          <w:szCs w:val="32"/>
          <w:lang w:val="zh-CN"/>
        </w:rPr>
        <w:t>平方米，项目总投资</w:t>
      </w:r>
      <w:r>
        <w:rPr>
          <w:rFonts w:ascii="仿宋" w:hAnsi="仿宋" w:eastAsia="仿宋" w:cs="仿宋"/>
          <w:kern w:val="0"/>
          <w:sz w:val="32"/>
          <w:szCs w:val="32"/>
          <w:lang w:val="zh-CN"/>
        </w:rPr>
        <w:t>18274</w:t>
      </w:r>
      <w:r>
        <w:rPr>
          <w:rFonts w:hint="eastAsia" w:ascii="仿宋" w:hAnsi="仿宋" w:eastAsia="仿宋" w:cs="仿宋"/>
          <w:kern w:val="0"/>
          <w:sz w:val="32"/>
          <w:szCs w:val="32"/>
          <w:lang w:val="zh-CN"/>
        </w:rPr>
        <w:t>万元，项目建设年限为</w:t>
      </w:r>
      <w:r>
        <w:rPr>
          <w:rFonts w:ascii="仿宋" w:hAnsi="仿宋" w:eastAsia="仿宋" w:cs="仿宋"/>
          <w:kern w:val="0"/>
          <w:sz w:val="32"/>
          <w:szCs w:val="32"/>
          <w:lang w:val="zh-CN"/>
        </w:rPr>
        <w:t>2018-2021</w:t>
      </w:r>
      <w:r>
        <w:rPr>
          <w:rFonts w:hint="eastAsia" w:ascii="仿宋" w:hAnsi="仿宋" w:eastAsia="仿宋" w:cs="仿宋"/>
          <w:kern w:val="0"/>
          <w:sz w:val="32"/>
          <w:szCs w:val="32"/>
          <w:lang w:val="zh-CN"/>
        </w:rPr>
        <w:t>年，目前已</w:t>
      </w:r>
      <w:r>
        <w:rPr>
          <w:rFonts w:hint="eastAsia" w:ascii="仿宋" w:hAnsi="仿宋" w:eastAsia="仿宋" w:cs="宋体"/>
          <w:kern w:val="0"/>
          <w:sz w:val="32"/>
          <w:szCs w:val="32"/>
          <w:lang w:val="zh-CN"/>
        </w:rPr>
        <w:t>完成了项目选址、立项、用地报批等工作。县政府于</w:t>
      </w:r>
      <w:r>
        <w:rPr>
          <w:rFonts w:ascii="仿宋" w:hAnsi="仿宋" w:eastAsia="仿宋" w:cs="宋体"/>
          <w:kern w:val="0"/>
          <w:sz w:val="32"/>
          <w:szCs w:val="32"/>
          <w:lang w:val="zh-CN"/>
        </w:rPr>
        <w:t>12</w:t>
      </w:r>
      <w:r>
        <w:rPr>
          <w:rFonts w:hint="eastAsia" w:ascii="仿宋" w:hAnsi="仿宋" w:eastAsia="仿宋" w:cs="宋体"/>
          <w:kern w:val="0"/>
          <w:sz w:val="32"/>
          <w:szCs w:val="32"/>
          <w:lang w:val="zh-CN"/>
        </w:rPr>
        <w:t>月</w:t>
      </w:r>
      <w:r>
        <w:rPr>
          <w:rFonts w:ascii="仿宋" w:hAnsi="仿宋" w:eastAsia="仿宋" w:cs="宋体"/>
          <w:kern w:val="0"/>
          <w:sz w:val="32"/>
          <w:szCs w:val="32"/>
          <w:lang w:val="zh-CN"/>
        </w:rPr>
        <w:t>12</w:t>
      </w:r>
      <w:r>
        <w:rPr>
          <w:rFonts w:hint="eastAsia" w:ascii="仿宋" w:hAnsi="仿宋" w:eastAsia="仿宋" w:cs="宋体"/>
          <w:kern w:val="0"/>
          <w:sz w:val="32"/>
          <w:szCs w:val="32"/>
          <w:lang w:val="zh-CN"/>
        </w:rPr>
        <w:t>日召开乡政府常务会会议，会议议定：同意“上杭县党员干部继续教育基地项目”更名为“上杭县教育培训基地项目”，原则上同意上杭县教育培训基地项目由上杭县兴诚实业有限公司按市场化进行融资建设。省委党校高度重视县级党校建设工作，今年我校积极争取省发改委、省委党校建设补助资金。省委党校分配我校新校区建设补助资金</w:t>
      </w:r>
      <w:r>
        <w:rPr>
          <w:rFonts w:ascii="仿宋" w:hAnsi="仿宋" w:eastAsia="仿宋"/>
          <w:kern w:val="0"/>
          <w:sz w:val="32"/>
          <w:szCs w:val="32"/>
        </w:rPr>
        <w:t>270</w:t>
      </w:r>
      <w:r>
        <w:rPr>
          <w:rFonts w:hint="eastAsia" w:ascii="仿宋" w:hAnsi="仿宋" w:eastAsia="仿宋" w:cs="宋体"/>
          <w:kern w:val="0"/>
          <w:sz w:val="32"/>
          <w:szCs w:val="32"/>
          <w:lang w:val="zh-CN"/>
        </w:rPr>
        <w:t>万元，补助资金分</w:t>
      </w:r>
      <w:r>
        <w:rPr>
          <w:rFonts w:ascii="仿宋" w:hAnsi="仿宋" w:eastAsia="仿宋"/>
          <w:kern w:val="0"/>
          <w:sz w:val="32"/>
          <w:szCs w:val="32"/>
        </w:rPr>
        <w:t>2</w:t>
      </w:r>
      <w:r>
        <w:rPr>
          <w:rFonts w:hint="eastAsia" w:ascii="仿宋" w:hAnsi="仿宋" w:eastAsia="仿宋" w:cs="宋体"/>
          <w:kern w:val="0"/>
          <w:sz w:val="32"/>
          <w:szCs w:val="32"/>
          <w:lang w:val="zh-CN"/>
        </w:rPr>
        <w:t>批下拨到位，县财政局已拨</w:t>
      </w:r>
      <w:r>
        <w:rPr>
          <w:rFonts w:ascii="仿宋" w:hAnsi="仿宋" w:eastAsia="仿宋"/>
          <w:kern w:val="0"/>
          <w:sz w:val="32"/>
          <w:szCs w:val="32"/>
        </w:rPr>
        <w:t>100</w:t>
      </w:r>
      <w:r>
        <w:rPr>
          <w:rFonts w:hint="eastAsia" w:ascii="仿宋" w:hAnsi="仿宋" w:eastAsia="仿宋" w:cs="宋体"/>
          <w:kern w:val="0"/>
          <w:sz w:val="32"/>
          <w:szCs w:val="32"/>
          <w:lang w:val="zh-CN"/>
        </w:rPr>
        <w:t>万元到项目专户。</w:t>
      </w:r>
      <w:r>
        <w:rPr>
          <w:rFonts w:hint="eastAsia" w:ascii="仿宋" w:hAnsi="仿宋" w:eastAsia="仿宋"/>
          <w:sz w:val="32"/>
          <w:szCs w:val="32"/>
        </w:rPr>
        <w:t>上杭县党员干部继续教育基地建成后，将大大改善我校的办学条件。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四、主动融入各项工作</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一是积极开展精神文明创建工作。</w:t>
      </w:r>
      <w:r>
        <w:rPr>
          <w:rFonts w:hint="eastAsia" w:ascii="仿宋" w:hAnsi="仿宋" w:eastAsia="仿宋"/>
          <w:sz w:val="32"/>
          <w:szCs w:val="32"/>
        </w:rPr>
        <w:t>积极参与市级文明单位创建组织全体干部职工参加县文明办组织的好人投票和点赞活动；发布移风易俗倡议书，提倡移风易俗新风尚；积极创建校园文化墙，将八不行为规范、移风易俗等内容作为重要宣传载体等上墙；</w:t>
      </w:r>
      <w:r>
        <w:rPr>
          <w:rFonts w:ascii="仿宋" w:hAnsi="仿宋" w:eastAsia="仿宋"/>
          <w:color w:val="000000"/>
          <w:sz w:val="32"/>
          <w:szCs w:val="32"/>
          <w:shd w:val="clear" w:color="auto" w:fill="FFFFFF"/>
        </w:rPr>
        <w:t>2018</w:t>
      </w:r>
      <w:r>
        <w:rPr>
          <w:rFonts w:hint="eastAsia" w:ascii="仿宋" w:hAnsi="仿宋" w:eastAsia="仿宋"/>
          <w:color w:val="000000"/>
          <w:sz w:val="32"/>
          <w:szCs w:val="32"/>
          <w:shd w:val="clear" w:color="auto" w:fill="FFFFFF"/>
        </w:rPr>
        <w:t>年</w:t>
      </w:r>
      <w:r>
        <w:rPr>
          <w:rFonts w:ascii="仿宋" w:hAnsi="仿宋" w:eastAsia="仿宋"/>
          <w:color w:val="000000"/>
          <w:sz w:val="32"/>
          <w:szCs w:val="32"/>
          <w:shd w:val="clear" w:color="auto" w:fill="FFFFFF"/>
        </w:rPr>
        <w:t>3</w:t>
      </w:r>
      <w:r>
        <w:rPr>
          <w:rFonts w:hint="eastAsia" w:ascii="仿宋" w:hAnsi="仿宋" w:eastAsia="仿宋"/>
          <w:color w:val="000000"/>
          <w:sz w:val="32"/>
          <w:szCs w:val="32"/>
          <w:shd w:val="clear" w:color="auto" w:fill="FFFFFF"/>
        </w:rPr>
        <w:t>月</w:t>
      </w:r>
      <w:r>
        <w:rPr>
          <w:rFonts w:ascii="仿宋" w:hAnsi="仿宋" w:eastAsia="仿宋"/>
          <w:color w:val="000000"/>
          <w:sz w:val="32"/>
          <w:szCs w:val="32"/>
          <w:shd w:val="clear" w:color="auto" w:fill="FFFFFF"/>
        </w:rPr>
        <w:t>10</w:t>
      </w:r>
      <w:r>
        <w:rPr>
          <w:rFonts w:hint="eastAsia" w:ascii="仿宋" w:hAnsi="仿宋" w:eastAsia="仿宋"/>
          <w:color w:val="000000"/>
          <w:sz w:val="32"/>
          <w:szCs w:val="32"/>
          <w:shd w:val="clear" w:color="auto" w:fill="FFFFFF"/>
        </w:rPr>
        <w:t>日组织全体干部职工前往稔田、太拔等乡镇开展“传承红色基因，践行雷锋精神，弘扬新时代正能量”主题系列活动</w:t>
      </w:r>
      <w:r>
        <w:rPr>
          <w:rFonts w:hint="eastAsia" w:ascii="仿宋" w:hAnsi="仿宋" w:eastAsia="仿宋"/>
          <w:sz w:val="32"/>
          <w:szCs w:val="32"/>
        </w:rPr>
        <w:t>；</w:t>
      </w:r>
      <w:r>
        <w:rPr>
          <w:rFonts w:hint="eastAsia" w:ascii="仿宋" w:hAnsi="仿宋" w:eastAsia="仿宋"/>
          <w:color w:val="000000"/>
          <w:sz w:val="32"/>
          <w:szCs w:val="32"/>
          <w:shd w:val="clear" w:color="auto" w:fill="FFFFFF"/>
        </w:rPr>
        <w:t>为缅怀革命先烈，弘扬爱国主义和革命传统主义精神，清明前夕</w:t>
      </w:r>
      <w:r>
        <w:rPr>
          <w:rFonts w:ascii="仿宋" w:hAnsi="仿宋" w:eastAsia="仿宋"/>
          <w:color w:val="000000"/>
          <w:sz w:val="32"/>
          <w:szCs w:val="32"/>
          <w:shd w:val="clear" w:color="auto" w:fill="FFFFFF"/>
        </w:rPr>
        <w:t>4</w:t>
      </w:r>
      <w:r>
        <w:rPr>
          <w:rFonts w:hint="eastAsia" w:ascii="仿宋" w:hAnsi="仿宋" w:eastAsia="仿宋"/>
          <w:color w:val="000000"/>
          <w:sz w:val="32"/>
          <w:szCs w:val="32"/>
          <w:shd w:val="clear" w:color="auto" w:fill="FFFFFF"/>
        </w:rPr>
        <w:t>月</w:t>
      </w:r>
      <w:r>
        <w:rPr>
          <w:rFonts w:ascii="仿宋" w:hAnsi="仿宋" w:eastAsia="仿宋"/>
          <w:color w:val="000000"/>
          <w:sz w:val="32"/>
          <w:szCs w:val="32"/>
          <w:shd w:val="clear" w:color="auto" w:fill="FFFFFF"/>
        </w:rPr>
        <w:t>4</w:t>
      </w:r>
      <w:r>
        <w:rPr>
          <w:rFonts w:hint="eastAsia" w:ascii="仿宋" w:hAnsi="仿宋" w:eastAsia="仿宋"/>
          <w:color w:val="000000"/>
          <w:sz w:val="32"/>
          <w:szCs w:val="32"/>
          <w:shd w:val="clear" w:color="auto" w:fill="FFFFFF"/>
        </w:rPr>
        <w:t>日上午，组织全体干部职工开展了</w:t>
      </w:r>
      <w:r>
        <w:rPr>
          <w:rFonts w:ascii="仿宋" w:hAnsi="仿宋" w:eastAsia="仿宋"/>
          <w:color w:val="000000"/>
          <w:sz w:val="32"/>
          <w:szCs w:val="32"/>
          <w:shd w:val="clear" w:color="auto" w:fill="FFFFFF"/>
        </w:rPr>
        <w:t xml:space="preserve"> </w:t>
      </w:r>
      <w:r>
        <w:rPr>
          <w:rFonts w:hint="eastAsia" w:ascii="仿宋" w:hAnsi="仿宋" w:eastAsia="仿宋"/>
          <w:color w:val="000000"/>
          <w:sz w:val="32"/>
          <w:szCs w:val="32"/>
          <w:shd w:val="clear" w:color="auto" w:fill="FFFFFF"/>
        </w:rPr>
        <w:t>“忆先贤、传家风”主题教育活动</w:t>
      </w:r>
      <w:r>
        <w:rPr>
          <w:rFonts w:hint="eastAsia" w:ascii="仿宋" w:hAnsi="仿宋" w:eastAsia="仿宋"/>
          <w:sz w:val="32"/>
          <w:szCs w:val="32"/>
        </w:rPr>
        <w:t>；七一前夕，</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日下午</w:t>
      </w:r>
      <w:r>
        <w:rPr>
          <w:rFonts w:hint="eastAsia" w:ascii="仿宋" w:hAnsi="仿宋" w:eastAsia="仿宋"/>
          <w:color w:val="000000"/>
          <w:sz w:val="32"/>
          <w:szCs w:val="32"/>
          <w:shd w:val="clear" w:color="auto" w:fill="FFFFFF"/>
        </w:rPr>
        <w:t>在一楼阶梯教室举办了以“共产党人的时代楷模”为主题的道德讲堂活动</w:t>
      </w:r>
      <w:r>
        <w:rPr>
          <w:rFonts w:hint="eastAsia" w:ascii="仿宋" w:hAnsi="仿宋" w:eastAsia="仿宋"/>
          <w:sz w:val="32"/>
          <w:szCs w:val="32"/>
        </w:rPr>
        <w:t>，</w:t>
      </w:r>
      <w:r>
        <w:rPr>
          <w:rFonts w:ascii="仿宋" w:hAnsi="仿宋" w:eastAsia="仿宋"/>
          <w:sz w:val="32"/>
          <w:szCs w:val="32"/>
        </w:rPr>
        <w:t>2018</w:t>
      </w:r>
      <w:r>
        <w:rPr>
          <w:rFonts w:hint="eastAsia" w:ascii="仿宋" w:hAnsi="仿宋" w:eastAsia="仿宋"/>
          <w:sz w:val="32"/>
          <w:szCs w:val="32"/>
        </w:rPr>
        <w:t>年我校被评为龙岩市市级文明单位。</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二是开展了丰富多彩的工会活动。</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16</w:t>
      </w:r>
      <w:r>
        <w:rPr>
          <w:rFonts w:hint="eastAsia" w:ascii="仿宋" w:hAnsi="仿宋" w:eastAsia="仿宋"/>
          <w:sz w:val="32"/>
          <w:szCs w:val="32"/>
        </w:rPr>
        <w:t>日至</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19</w:t>
      </w:r>
      <w:r>
        <w:rPr>
          <w:rFonts w:hint="eastAsia" w:ascii="仿宋" w:hAnsi="仿宋" w:eastAsia="仿宋"/>
          <w:sz w:val="32"/>
          <w:szCs w:val="32"/>
        </w:rPr>
        <w:t>日，</w:t>
      </w:r>
      <w:r>
        <w:rPr>
          <w:rFonts w:ascii="仿宋" w:eastAsia="仿宋"/>
          <w:sz w:val="32"/>
          <w:szCs w:val="32"/>
        </w:rPr>
        <w:t> </w:t>
      </w:r>
      <w:r>
        <w:rPr>
          <w:rFonts w:hint="eastAsia" w:ascii="仿宋" w:hAnsi="仿宋" w:eastAsia="仿宋"/>
          <w:sz w:val="32"/>
          <w:szCs w:val="32"/>
        </w:rPr>
        <w:t>作为古田干部学院、龙岩市委党校新校区第一批学员，上杭县委党校组织全体干部、职工前往古田干部学院、龙岩市委党校新校区开展“不忘初心，牢记使命，争做新时代楷模”主题学习培训。组织全体干部职工观看电影《厉害了，我的国》和《红海行动》。三八妇女节期间开展“传承红色基因，践行雷锋精神，弘扬新时代正能量”系列活动，前往稔田镇连四村严坑村开展打扫、整理、维护永安楼、军政委员会旧址等志愿服务，志愿服务结束后，教职工们还前往连四村困难党员廖三妹、黄正垣家中开展慰问活动</w:t>
      </w:r>
      <w:r>
        <w:rPr>
          <w:rFonts w:ascii="仿宋" w:hAnsi="仿宋" w:eastAsia="仿宋"/>
          <w:sz w:val="32"/>
          <w:szCs w:val="32"/>
        </w:rPr>
        <w:t>,</w:t>
      </w:r>
      <w:r>
        <w:rPr>
          <w:rFonts w:hint="eastAsia" w:ascii="仿宋" w:hAnsi="仿宋" w:eastAsia="仿宋"/>
          <w:sz w:val="32"/>
          <w:szCs w:val="32"/>
        </w:rPr>
        <w:t>李桂香老师还在永安楼前为当地群众及党校干部职工义务讲授了题为《革命成功盖新楼》的现场课。“传承红色基因，践行雷锋精神，弘扬新时代正能量”系列活动。前往太拔镇院田村开展义务宣讲“十九大、十九届三中全会、全国两会”等重要会议精神及国家各项惠农政策并向当地群众发放“移风易俗倡议书”及“八不行为规范”宣传册</w:t>
      </w:r>
      <w:r>
        <w:rPr>
          <w:rFonts w:ascii="仿宋" w:hAnsi="仿宋" w:eastAsia="仿宋"/>
          <w:sz w:val="32"/>
          <w:szCs w:val="32"/>
        </w:rPr>
        <w:t>67</w:t>
      </w:r>
      <w:r>
        <w:rPr>
          <w:rFonts w:hint="eastAsia" w:ascii="仿宋" w:hAnsi="仿宋" w:eastAsia="仿宋"/>
          <w:sz w:val="32"/>
          <w:szCs w:val="32"/>
        </w:rPr>
        <w:t>份。</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三是做好结对帮扶工作。</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24</w:t>
      </w:r>
      <w:r>
        <w:rPr>
          <w:rFonts w:hint="eastAsia" w:ascii="仿宋" w:hAnsi="仿宋" w:eastAsia="仿宋"/>
          <w:sz w:val="32"/>
          <w:szCs w:val="32"/>
        </w:rPr>
        <w:t>日下午，上杭县委党校常务副校长李兰香与古田镇副镇长赖媛一行，深入到古田镇软弱涣散党组织村溪背村，实地了解村里各项情况，</w:t>
      </w:r>
      <w:r>
        <w:rPr>
          <w:rFonts w:hint="eastAsia" w:ascii="仿宋" w:hAnsi="仿宋" w:eastAsia="仿宋"/>
          <w:color w:val="000000"/>
          <w:sz w:val="32"/>
          <w:szCs w:val="32"/>
        </w:rPr>
        <w:t>李兰香校长还结合溪背村实际对溪背村发展提出了相关建议</w:t>
      </w: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11</w:t>
      </w:r>
      <w:r>
        <w:rPr>
          <w:rFonts w:hint="eastAsia" w:ascii="仿宋" w:hAnsi="仿宋" w:eastAsia="仿宋"/>
          <w:sz w:val="32"/>
          <w:szCs w:val="32"/>
        </w:rPr>
        <w:t>日常务副校长李兰香、副校长邱安业等一行</w:t>
      </w:r>
      <w:r>
        <w:rPr>
          <w:rFonts w:ascii="仿宋" w:hAnsi="仿宋" w:eastAsia="仿宋"/>
          <w:sz w:val="32"/>
          <w:szCs w:val="32"/>
        </w:rPr>
        <w:t>4</w:t>
      </w:r>
      <w:r>
        <w:rPr>
          <w:rFonts w:hint="eastAsia" w:ascii="仿宋" w:hAnsi="仿宋" w:eastAsia="仿宋"/>
          <w:sz w:val="32"/>
          <w:szCs w:val="32"/>
        </w:rPr>
        <w:t>人深入古田镇石笋村、溪背村调研村级组织换届选举工作进展情况并开展精准扶贫帮扶工作。</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11</w:t>
      </w:r>
      <w:r>
        <w:rPr>
          <w:rFonts w:hint="eastAsia" w:ascii="仿宋" w:hAnsi="仿宋" w:eastAsia="仿宋"/>
          <w:sz w:val="32"/>
          <w:szCs w:val="32"/>
        </w:rPr>
        <w:t>日，县委党校李兰香常务副校长、丘景霞副校长一行</w:t>
      </w:r>
      <w:r>
        <w:rPr>
          <w:rFonts w:ascii="仿宋" w:hAnsi="仿宋" w:eastAsia="仿宋"/>
          <w:sz w:val="32"/>
          <w:szCs w:val="32"/>
        </w:rPr>
        <w:t>4</w:t>
      </w:r>
      <w:r>
        <w:rPr>
          <w:rFonts w:hint="eastAsia" w:ascii="仿宋" w:hAnsi="仿宋" w:eastAsia="仿宋"/>
          <w:sz w:val="32"/>
          <w:szCs w:val="32"/>
        </w:rPr>
        <w:t>人前往扶贫挂钩村古田镇石笋村和挂钩软弱涣散党支部溪背村走访，走访人员与石笋、溪背两村的村两委分别进行了座谈。此外，我校还多次组织人员深入湖洋镇上埔、碧田、涧头等村干部结对帮扶的贫困户家中开展精准扶贫工作，工作取得了实效，深得群众好评。</w:t>
      </w:r>
    </w:p>
    <w:p>
      <w:pPr>
        <w:spacing w:line="560" w:lineRule="exact"/>
        <w:ind w:firstLine="720" w:firstLineChars="200"/>
        <w:rPr>
          <w:rFonts w:ascii="仿宋" w:hAnsi="仿宋" w:eastAsia="仿宋"/>
          <w:sz w:val="36"/>
          <w:szCs w:val="36"/>
        </w:rPr>
      </w:pPr>
    </w:p>
    <w:p>
      <w:pPr>
        <w:spacing w:line="600" w:lineRule="exact"/>
        <w:rPr>
          <w:rFonts w:ascii="仿宋" w:hAnsi="仿宋" w:eastAsia="仿宋"/>
          <w:sz w:val="32"/>
          <w:szCs w:val="32"/>
        </w:rPr>
      </w:pPr>
    </w:p>
    <w:p>
      <w:pPr>
        <w:spacing w:line="600" w:lineRule="exact"/>
        <w:rPr>
          <w:rFonts w:ascii="仿宋" w:hAnsi="仿宋" w:eastAsia="仿宋"/>
          <w:sz w:val="36"/>
          <w:szCs w:val="36"/>
        </w:rPr>
      </w:pPr>
    </w:p>
    <w:p>
      <w:pPr>
        <w:spacing w:line="600" w:lineRule="exact"/>
        <w:rPr>
          <w:rFonts w:ascii="仿宋" w:hAnsi="仿宋" w:eastAsia="仿宋"/>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第二部分</w:t>
      </w:r>
      <w:r>
        <w:rPr>
          <w:rFonts w:ascii="黑体" w:hAnsi="黑体" w:eastAsia="黑体"/>
          <w:sz w:val="36"/>
          <w:szCs w:val="36"/>
        </w:rPr>
        <w:t xml:space="preserve"> 2018</w:t>
      </w:r>
      <w:r>
        <w:rPr>
          <w:rFonts w:hint="eastAsia" w:ascii="黑体" w:hAnsi="黑体" w:eastAsia="黑体"/>
          <w:sz w:val="36"/>
          <w:szCs w:val="36"/>
        </w:rPr>
        <w:t>年度部门决算情况说明</w:t>
      </w:r>
    </w:p>
    <w:p>
      <w:pPr>
        <w:spacing w:line="600" w:lineRule="exact"/>
        <w:rPr>
          <w:rFonts w:ascii="仿宋" w:hAnsi="仿宋" w:eastAsia="仿宋"/>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一、收入支出决算总体情况说明</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2018</w:t>
      </w:r>
      <w:r>
        <w:rPr>
          <w:rFonts w:hint="eastAsia" w:ascii="仿宋" w:hAnsi="仿宋" w:eastAsia="仿宋" w:cs="仿宋_GB2312"/>
          <w:sz w:val="32"/>
          <w:szCs w:val="32"/>
        </w:rPr>
        <w:t>年中共上杭县委党校年初结转和结余</w:t>
      </w:r>
      <w:r>
        <w:rPr>
          <w:rFonts w:ascii="仿宋" w:hAnsi="仿宋" w:eastAsia="仿宋" w:cs="仿宋_GB2312"/>
          <w:sz w:val="32"/>
          <w:szCs w:val="32"/>
        </w:rPr>
        <w:t>166.73</w:t>
      </w:r>
      <w:r>
        <w:rPr>
          <w:rFonts w:hint="eastAsia" w:ascii="仿宋" w:hAnsi="仿宋" w:eastAsia="仿宋" w:cs="仿宋_GB2312"/>
          <w:sz w:val="32"/>
          <w:szCs w:val="32"/>
        </w:rPr>
        <w:t>万元，本年收入</w:t>
      </w:r>
      <w:r>
        <w:rPr>
          <w:rFonts w:ascii="仿宋" w:hAnsi="仿宋" w:eastAsia="仿宋" w:cs="仿宋_GB2312"/>
          <w:sz w:val="32"/>
          <w:szCs w:val="32"/>
        </w:rPr>
        <w:t>1534.18</w:t>
      </w:r>
      <w:r>
        <w:rPr>
          <w:rFonts w:hint="eastAsia" w:ascii="仿宋" w:hAnsi="仿宋" w:eastAsia="仿宋" w:cs="仿宋_GB2312"/>
          <w:sz w:val="32"/>
          <w:szCs w:val="32"/>
        </w:rPr>
        <w:t>万元，本年支出</w:t>
      </w:r>
      <w:r>
        <w:rPr>
          <w:rFonts w:ascii="仿宋" w:hAnsi="仿宋" w:eastAsia="仿宋" w:cs="仿宋_GB2312"/>
          <w:sz w:val="32"/>
          <w:szCs w:val="32"/>
        </w:rPr>
        <w:t>1471.73</w:t>
      </w:r>
      <w:r>
        <w:rPr>
          <w:rFonts w:hint="eastAsia" w:ascii="仿宋" w:hAnsi="仿宋" w:eastAsia="仿宋" w:cs="仿宋_GB2312"/>
          <w:sz w:val="32"/>
          <w:szCs w:val="32"/>
        </w:rPr>
        <w:t>万元，事业基金弥补收支差额</w:t>
      </w:r>
      <w:r>
        <w:rPr>
          <w:rFonts w:ascii="仿宋" w:hAnsi="仿宋" w:eastAsia="仿宋" w:cs="仿宋_GB2312"/>
          <w:sz w:val="32"/>
          <w:szCs w:val="32"/>
        </w:rPr>
        <w:t>0</w:t>
      </w:r>
      <w:r>
        <w:rPr>
          <w:rFonts w:hint="eastAsia" w:ascii="仿宋" w:hAnsi="仿宋" w:eastAsia="仿宋" w:cs="仿宋_GB2312"/>
          <w:sz w:val="32"/>
          <w:szCs w:val="32"/>
        </w:rPr>
        <w:t>万元，结余分配</w:t>
      </w:r>
      <w:r>
        <w:rPr>
          <w:rFonts w:ascii="仿宋" w:hAnsi="仿宋" w:eastAsia="仿宋" w:cs="仿宋_GB2312"/>
          <w:sz w:val="32"/>
          <w:szCs w:val="32"/>
        </w:rPr>
        <w:t>0</w:t>
      </w:r>
      <w:r>
        <w:rPr>
          <w:rFonts w:hint="eastAsia" w:ascii="仿宋" w:hAnsi="仿宋" w:eastAsia="仿宋" w:cs="仿宋_GB2312"/>
          <w:sz w:val="32"/>
          <w:szCs w:val="32"/>
        </w:rPr>
        <w:t>万元，年末结转和结余</w:t>
      </w:r>
      <w:r>
        <w:rPr>
          <w:rFonts w:ascii="仿宋" w:hAnsi="仿宋" w:eastAsia="仿宋" w:cs="仿宋_GB2312"/>
          <w:sz w:val="32"/>
          <w:szCs w:val="32"/>
        </w:rPr>
        <w:t>229.18</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w:t>
      </w:r>
      <w:r>
        <w:rPr>
          <w:rFonts w:ascii="仿宋" w:hAnsi="仿宋" w:eastAsia="仿宋" w:cs="仿宋_GB2312"/>
          <w:sz w:val="32"/>
          <w:szCs w:val="32"/>
        </w:rPr>
        <w:t>2018</w:t>
      </w:r>
      <w:r>
        <w:rPr>
          <w:rFonts w:hint="eastAsia" w:ascii="仿宋" w:hAnsi="仿宋" w:eastAsia="仿宋" w:cs="仿宋_GB2312"/>
          <w:sz w:val="32"/>
          <w:szCs w:val="32"/>
        </w:rPr>
        <w:t>年收入</w:t>
      </w:r>
      <w:r>
        <w:rPr>
          <w:rFonts w:ascii="仿宋" w:hAnsi="仿宋" w:eastAsia="仿宋" w:cs="仿宋_GB2312"/>
          <w:sz w:val="32"/>
          <w:szCs w:val="32"/>
        </w:rPr>
        <w:t>1534.18</w:t>
      </w:r>
      <w:r>
        <w:rPr>
          <w:rFonts w:hint="eastAsia" w:ascii="仿宋" w:hAnsi="仿宋" w:eastAsia="仿宋" w:cs="仿宋_GB2312"/>
          <w:sz w:val="32"/>
          <w:szCs w:val="32"/>
        </w:rPr>
        <w:t>万元，比</w:t>
      </w:r>
      <w:r>
        <w:rPr>
          <w:rFonts w:ascii="仿宋" w:hAnsi="仿宋" w:eastAsia="仿宋" w:cs="仿宋_GB2312"/>
          <w:sz w:val="32"/>
          <w:szCs w:val="32"/>
        </w:rPr>
        <w:t>2017</w:t>
      </w:r>
      <w:r>
        <w:rPr>
          <w:rFonts w:hint="eastAsia" w:ascii="仿宋" w:hAnsi="仿宋" w:eastAsia="仿宋" w:cs="仿宋_GB2312"/>
          <w:sz w:val="32"/>
          <w:szCs w:val="32"/>
        </w:rPr>
        <w:t>年决算数增加</w:t>
      </w:r>
      <w:r>
        <w:rPr>
          <w:rFonts w:ascii="仿宋" w:hAnsi="仿宋" w:eastAsia="仿宋" w:cs="仿宋_GB2312"/>
          <w:sz w:val="32"/>
          <w:szCs w:val="32"/>
        </w:rPr>
        <w:t>222.66</w:t>
      </w:r>
      <w:r>
        <w:rPr>
          <w:rFonts w:hint="eastAsia" w:ascii="仿宋" w:hAnsi="仿宋" w:eastAsia="仿宋" w:cs="仿宋_GB2312"/>
          <w:sz w:val="32"/>
          <w:szCs w:val="32"/>
        </w:rPr>
        <w:t>万元，增长</w:t>
      </w:r>
      <w:r>
        <w:rPr>
          <w:rFonts w:ascii="仿宋" w:hAnsi="仿宋" w:eastAsia="仿宋" w:cs="仿宋_GB2312"/>
          <w:sz w:val="32"/>
          <w:szCs w:val="32"/>
        </w:rPr>
        <w:t>16.98</w:t>
      </w:r>
      <w:r>
        <w:rPr>
          <w:rFonts w:hint="eastAsia" w:ascii="仿宋" w:hAnsi="仿宋" w:eastAsia="仿宋" w:cs="仿宋_GB2312"/>
          <w:sz w:val="32"/>
          <w:szCs w:val="32"/>
        </w:rPr>
        <w:t>％</w:t>
      </w:r>
      <w:r>
        <w:rPr>
          <w:rFonts w:hint="eastAsia" w:ascii="仿宋" w:hAnsi="仿宋" w:eastAsia="仿宋"/>
          <w:sz w:val="32"/>
          <w:szCs w:val="32"/>
        </w:rPr>
        <w:t>，</w:t>
      </w:r>
      <w:r>
        <w:rPr>
          <w:rFonts w:hint="eastAsia" w:ascii="仿宋" w:hAnsi="仿宋" w:eastAsia="仿宋" w:cs="仿宋_GB2312"/>
          <w:sz w:val="32"/>
          <w:szCs w:val="32"/>
        </w:rPr>
        <w:t>具体情况如下：</w:t>
      </w:r>
    </w:p>
    <w:p>
      <w:pPr>
        <w:autoSpaceDE w:val="0"/>
        <w:autoSpaceDN w:val="0"/>
        <w:adjustRightInd w:val="0"/>
        <w:spacing w:line="600" w:lineRule="exact"/>
        <w:ind w:left="160" w:leftChars="76" w:firstLine="480" w:firstLineChars="15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rPr>
        <w:t>财政拨款收入</w:t>
      </w:r>
      <w:r>
        <w:rPr>
          <w:rFonts w:ascii="仿宋" w:hAnsi="仿宋" w:eastAsia="仿宋" w:cs="仿宋_GB2312"/>
          <w:sz w:val="32"/>
          <w:szCs w:val="32"/>
        </w:rPr>
        <w:t>573.62</w:t>
      </w:r>
      <w:r>
        <w:rPr>
          <w:rFonts w:hint="eastAsia" w:ascii="仿宋" w:hAnsi="仿宋" w:eastAsia="仿宋" w:cs="仿宋_GB2312"/>
          <w:sz w:val="32"/>
          <w:szCs w:val="32"/>
        </w:rPr>
        <w:t>万元，其中政府性基金</w:t>
      </w:r>
      <w:r>
        <w:rPr>
          <w:rFonts w:ascii="仿宋" w:hAnsi="仿宋" w:eastAsia="仿宋" w:cs="仿宋_GB2312"/>
          <w:sz w:val="32"/>
          <w:szCs w:val="32"/>
        </w:rPr>
        <w:t>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事业收入</w:t>
      </w:r>
      <w:r>
        <w:rPr>
          <w:rFonts w:ascii="仿宋" w:hAnsi="仿宋" w:eastAsia="仿宋" w:cs="仿宋_GB2312"/>
          <w:sz w:val="32"/>
          <w:szCs w:val="32"/>
        </w:rPr>
        <w:t>960.24</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经营收入</w:t>
      </w:r>
      <w:r>
        <w:rPr>
          <w:rFonts w:ascii="仿宋" w:hAnsi="仿宋" w:eastAsia="仿宋" w:cs="仿宋_GB2312"/>
          <w:sz w:val="32"/>
          <w:szCs w:val="32"/>
        </w:rPr>
        <w:t>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sz w:val="32"/>
          <w:szCs w:val="32"/>
        </w:rPr>
        <w:t>上级补助收入</w:t>
      </w:r>
      <w:r>
        <w:rPr>
          <w:rFonts w:ascii="仿宋" w:hAnsi="仿宋" w:eastAsia="仿宋" w:cs="仿宋_GB2312"/>
          <w:sz w:val="32"/>
          <w:szCs w:val="32"/>
        </w:rPr>
        <w:t>0</w:t>
      </w:r>
      <w:r>
        <w:rPr>
          <w:rFonts w:hint="eastAsia" w:ascii="仿宋" w:hAnsi="仿宋" w:eastAsia="仿宋"/>
          <w:sz w:val="32"/>
          <w:szCs w:val="32"/>
        </w:rPr>
        <w:t>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附属单位上缴收入</w:t>
      </w:r>
      <w:r>
        <w:rPr>
          <w:rFonts w:ascii="仿宋" w:hAnsi="仿宋" w:eastAsia="仿宋" w:cs="仿宋_GB2312"/>
          <w:sz w:val="32"/>
          <w:szCs w:val="32"/>
        </w:rPr>
        <w:t>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其他收入</w:t>
      </w:r>
      <w:r>
        <w:rPr>
          <w:rFonts w:ascii="仿宋" w:hAnsi="仿宋" w:eastAsia="仿宋" w:cs="仿宋_GB2312"/>
          <w:sz w:val="32"/>
          <w:szCs w:val="32"/>
        </w:rPr>
        <w:t>0.32</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（二）</w:t>
      </w:r>
      <w:r>
        <w:rPr>
          <w:rFonts w:ascii="仿宋" w:hAnsi="仿宋" w:eastAsia="仿宋" w:cs="仿宋_GB2312"/>
          <w:sz w:val="32"/>
          <w:szCs w:val="32"/>
        </w:rPr>
        <w:t>2018</w:t>
      </w:r>
      <w:r>
        <w:rPr>
          <w:rFonts w:hint="eastAsia" w:ascii="仿宋" w:hAnsi="仿宋" w:eastAsia="仿宋" w:cs="仿宋_GB2312"/>
          <w:sz w:val="32"/>
          <w:szCs w:val="32"/>
        </w:rPr>
        <w:t>年支出</w:t>
      </w:r>
      <w:r>
        <w:rPr>
          <w:rFonts w:ascii="仿宋" w:hAnsi="仿宋" w:eastAsia="仿宋" w:cs="仿宋_GB2312"/>
          <w:sz w:val="32"/>
          <w:szCs w:val="32"/>
        </w:rPr>
        <w:t>1471.73</w:t>
      </w:r>
      <w:r>
        <w:rPr>
          <w:rFonts w:hint="eastAsia" w:ascii="仿宋" w:hAnsi="仿宋" w:eastAsia="仿宋" w:cs="仿宋_GB2312"/>
          <w:sz w:val="32"/>
          <w:szCs w:val="32"/>
        </w:rPr>
        <w:t>万元，比</w:t>
      </w:r>
      <w:r>
        <w:rPr>
          <w:rFonts w:ascii="仿宋" w:hAnsi="仿宋" w:eastAsia="仿宋" w:cs="仿宋_GB2312"/>
          <w:sz w:val="32"/>
          <w:szCs w:val="32"/>
        </w:rPr>
        <w:t>2017</w:t>
      </w:r>
      <w:r>
        <w:rPr>
          <w:rFonts w:hint="eastAsia" w:ascii="仿宋" w:hAnsi="仿宋" w:eastAsia="仿宋" w:cs="仿宋_GB2312"/>
          <w:sz w:val="32"/>
          <w:szCs w:val="32"/>
        </w:rPr>
        <w:t>年决算数增加</w:t>
      </w:r>
      <w:r>
        <w:rPr>
          <w:rFonts w:ascii="仿宋" w:hAnsi="仿宋" w:eastAsia="仿宋" w:cs="仿宋_GB2312"/>
          <w:sz w:val="32"/>
          <w:szCs w:val="32"/>
        </w:rPr>
        <w:t>272.17</w:t>
      </w:r>
      <w:r>
        <w:rPr>
          <w:rFonts w:hint="eastAsia" w:ascii="仿宋" w:hAnsi="仿宋" w:eastAsia="仿宋" w:cs="仿宋_GB2312"/>
          <w:sz w:val="32"/>
          <w:szCs w:val="32"/>
        </w:rPr>
        <w:t>万元，增长</w:t>
      </w:r>
      <w:r>
        <w:rPr>
          <w:rFonts w:ascii="仿宋" w:hAnsi="仿宋" w:eastAsia="仿宋" w:cs="仿宋_GB2312"/>
          <w:sz w:val="32"/>
          <w:szCs w:val="32"/>
        </w:rPr>
        <w:t>22.69</w:t>
      </w:r>
      <w:r>
        <w:rPr>
          <w:rFonts w:hint="eastAsia" w:ascii="仿宋" w:hAnsi="仿宋" w:eastAsia="仿宋" w:cs="仿宋_GB2312"/>
          <w:sz w:val="32"/>
          <w:szCs w:val="32"/>
        </w:rPr>
        <w:t>％</w:t>
      </w:r>
      <w:r>
        <w:rPr>
          <w:rFonts w:hint="eastAsia" w:ascii="仿宋" w:hAnsi="仿宋" w:eastAsia="仿宋"/>
          <w:sz w:val="32"/>
          <w:szCs w:val="32"/>
        </w:rPr>
        <w:t>，</w:t>
      </w:r>
      <w:r>
        <w:rPr>
          <w:rFonts w:hint="eastAsia" w:ascii="仿宋" w:hAnsi="仿宋" w:eastAsia="仿宋" w:cs="仿宋_GB2312"/>
          <w:sz w:val="32"/>
          <w:szCs w:val="32"/>
        </w:rPr>
        <w:t>具体情况如下：</w:t>
      </w:r>
    </w:p>
    <w:p>
      <w:pPr>
        <w:tabs>
          <w:tab w:val="left" w:pos="7513"/>
        </w:tabs>
        <w:adjustRightInd w:val="0"/>
        <w:snapToGrid w:val="0"/>
        <w:spacing w:line="600" w:lineRule="exact"/>
        <w:ind w:left="237" w:leftChars="113" w:firstLine="480" w:firstLineChars="15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rPr>
        <w:t>基本支出</w:t>
      </w:r>
      <w:r>
        <w:rPr>
          <w:rFonts w:ascii="仿宋" w:hAnsi="仿宋" w:eastAsia="仿宋" w:cs="仿宋_GB2312"/>
          <w:sz w:val="32"/>
          <w:szCs w:val="32"/>
        </w:rPr>
        <w:t>1471.73</w:t>
      </w:r>
      <w:r>
        <w:rPr>
          <w:rFonts w:hint="eastAsia" w:ascii="仿宋" w:hAnsi="仿宋" w:eastAsia="仿宋" w:cs="仿宋_GB2312"/>
          <w:sz w:val="32"/>
          <w:szCs w:val="32"/>
        </w:rPr>
        <w:t>万元。其中，人员支出</w:t>
      </w:r>
      <w:r>
        <w:rPr>
          <w:rFonts w:ascii="仿宋" w:hAnsi="仿宋" w:eastAsia="仿宋" w:cs="仿宋_GB2312"/>
          <w:sz w:val="32"/>
          <w:szCs w:val="32"/>
        </w:rPr>
        <w:t>481.9</w:t>
      </w:r>
      <w:r>
        <w:rPr>
          <w:rFonts w:hint="eastAsia" w:ascii="仿宋" w:hAnsi="仿宋" w:eastAsia="仿宋" w:cs="仿宋_GB2312"/>
          <w:sz w:val="32"/>
          <w:szCs w:val="32"/>
        </w:rPr>
        <w:t>万元，公用支出</w:t>
      </w:r>
      <w:r>
        <w:rPr>
          <w:rFonts w:ascii="仿宋" w:hAnsi="仿宋" w:eastAsia="仿宋" w:cs="仿宋_GB2312"/>
          <w:sz w:val="32"/>
          <w:szCs w:val="32"/>
        </w:rPr>
        <w:t>989.83</w:t>
      </w:r>
      <w:r>
        <w:rPr>
          <w:rFonts w:hint="eastAsia" w:ascii="仿宋" w:hAnsi="仿宋" w:eastAsia="仿宋" w:cs="仿宋_GB2312"/>
          <w:sz w:val="32"/>
          <w:szCs w:val="32"/>
        </w:rPr>
        <w:t>万元。</w:t>
      </w:r>
    </w:p>
    <w:p>
      <w:pPr>
        <w:tabs>
          <w:tab w:val="left" w:pos="7513"/>
        </w:tabs>
        <w:adjustRightInd w:val="0"/>
        <w:snapToGrid w:val="0"/>
        <w:spacing w:line="600" w:lineRule="exact"/>
        <w:ind w:left="716" w:leftChars="341"/>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项目支出</w:t>
      </w:r>
      <w:r>
        <w:rPr>
          <w:rFonts w:ascii="仿宋" w:hAnsi="仿宋" w:eastAsia="仿宋" w:cs="仿宋_GB2312"/>
          <w:sz w:val="32"/>
          <w:szCs w:val="32"/>
        </w:rPr>
        <w:t>0</w:t>
      </w:r>
      <w:r>
        <w:rPr>
          <w:rFonts w:hint="eastAsia" w:ascii="仿宋" w:hAnsi="仿宋" w:eastAsia="仿宋" w:cs="仿宋_GB2312"/>
          <w:sz w:val="32"/>
          <w:szCs w:val="32"/>
        </w:rPr>
        <w:t>万元。</w:t>
      </w:r>
    </w:p>
    <w:p>
      <w:pPr>
        <w:tabs>
          <w:tab w:val="left" w:pos="7513"/>
        </w:tabs>
        <w:adjustRightInd w:val="0"/>
        <w:snapToGrid w:val="0"/>
        <w:spacing w:line="600" w:lineRule="exact"/>
        <w:ind w:left="716" w:leftChars="341"/>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上缴上级支出</w:t>
      </w:r>
      <w:r>
        <w:rPr>
          <w:rFonts w:ascii="仿宋" w:hAnsi="仿宋" w:eastAsia="仿宋" w:cs="仿宋_GB2312"/>
          <w:sz w:val="32"/>
          <w:szCs w:val="32"/>
        </w:rPr>
        <w:t>0</w:t>
      </w:r>
      <w:r>
        <w:rPr>
          <w:rFonts w:hint="eastAsia" w:ascii="仿宋" w:hAnsi="仿宋" w:eastAsia="仿宋" w:cs="仿宋_GB2312"/>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经营支出</w:t>
      </w:r>
      <w:r>
        <w:rPr>
          <w:rFonts w:ascii="仿宋" w:hAnsi="仿宋" w:eastAsia="仿宋" w:cs="仿宋_GB2312"/>
          <w:sz w:val="32"/>
          <w:szCs w:val="32"/>
        </w:rPr>
        <w:t>0</w:t>
      </w:r>
      <w:r>
        <w:rPr>
          <w:rFonts w:hint="eastAsia" w:ascii="仿宋" w:hAnsi="仿宋" w:eastAsia="仿宋" w:cs="仿宋_GB2312"/>
          <w:sz w:val="32"/>
          <w:szCs w:val="32"/>
        </w:rPr>
        <w:t>万元。</w:t>
      </w:r>
    </w:p>
    <w:p>
      <w:pPr>
        <w:spacing w:line="600" w:lineRule="exact"/>
        <w:ind w:firstLine="640" w:firstLineChars="20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对附属单位补助支出</w:t>
      </w:r>
      <w:r>
        <w:rPr>
          <w:rFonts w:ascii="仿宋" w:hAnsi="仿宋" w:eastAsia="仿宋" w:cs="仿宋_GB2312"/>
          <w:sz w:val="32"/>
          <w:szCs w:val="32"/>
        </w:rPr>
        <w:t>0</w:t>
      </w:r>
      <w:r>
        <w:rPr>
          <w:rFonts w:hint="eastAsia" w:ascii="仿宋" w:hAnsi="仿宋" w:eastAsia="仿宋" w:cs="仿宋_GB2312"/>
          <w:sz w:val="32"/>
          <w:szCs w:val="32"/>
        </w:rPr>
        <w:t>万元。</w:t>
      </w: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二、一般公共预算拨款支出决算情况说明</w:t>
      </w:r>
    </w:p>
    <w:p>
      <w:pPr>
        <w:spacing w:line="600" w:lineRule="exact"/>
        <w:ind w:firstLine="640" w:firstLineChars="200"/>
        <w:rPr>
          <w:rFonts w:ascii="仿宋" w:hAnsi="仿宋" w:eastAsia="仿宋"/>
          <w:sz w:val="32"/>
          <w:szCs w:val="32"/>
        </w:rPr>
      </w:pPr>
      <w:r>
        <w:rPr>
          <w:rFonts w:ascii="仿宋" w:hAnsi="仿宋" w:eastAsia="仿宋" w:cs="仿宋_GB2312"/>
          <w:sz w:val="32"/>
          <w:szCs w:val="32"/>
        </w:rPr>
        <w:t>2018</w:t>
      </w:r>
      <w:r>
        <w:rPr>
          <w:rFonts w:hint="eastAsia" w:ascii="仿宋" w:hAnsi="仿宋" w:eastAsia="仿宋"/>
          <w:sz w:val="32"/>
          <w:szCs w:val="32"/>
        </w:rPr>
        <w:t>年一般公共预算拨款支出</w:t>
      </w:r>
      <w:r>
        <w:rPr>
          <w:rFonts w:ascii="仿宋" w:hAnsi="仿宋" w:eastAsia="仿宋"/>
          <w:sz w:val="32"/>
          <w:szCs w:val="32"/>
        </w:rPr>
        <w:t>577.29</w:t>
      </w:r>
      <w:r>
        <w:rPr>
          <w:rFonts w:hint="eastAsia" w:ascii="仿宋" w:hAnsi="仿宋" w:eastAsia="仿宋"/>
          <w:sz w:val="32"/>
          <w:szCs w:val="32"/>
        </w:rPr>
        <w:t>万元，比上年决算数增加</w:t>
      </w:r>
      <w:r>
        <w:rPr>
          <w:rFonts w:ascii="仿宋" w:hAnsi="仿宋" w:eastAsia="仿宋"/>
          <w:sz w:val="32"/>
          <w:szCs w:val="32"/>
        </w:rPr>
        <w:t>141.6</w:t>
      </w:r>
      <w:r>
        <w:rPr>
          <w:rFonts w:hint="eastAsia" w:ascii="仿宋" w:hAnsi="仿宋" w:eastAsia="仿宋"/>
          <w:sz w:val="32"/>
          <w:szCs w:val="32"/>
        </w:rPr>
        <w:t>万元，增长</w:t>
      </w:r>
      <w:r>
        <w:rPr>
          <w:rFonts w:ascii="仿宋" w:hAnsi="仿宋" w:eastAsia="仿宋"/>
          <w:sz w:val="32"/>
          <w:szCs w:val="32"/>
        </w:rPr>
        <w:t>0.33%</w:t>
      </w:r>
      <w:r>
        <w:rPr>
          <w:rFonts w:hint="eastAsia" w:ascii="仿宋" w:hAnsi="仿宋" w:eastAsia="仿宋"/>
          <w:sz w:val="32"/>
          <w:szCs w:val="32"/>
        </w:rPr>
        <w:t>，具体情况如下</w:t>
      </w:r>
      <w:r>
        <w:rPr>
          <w:rFonts w:ascii="仿宋" w:hAnsi="仿宋" w:eastAsia="仿宋"/>
          <w:sz w:val="32"/>
          <w:szCs w:val="32"/>
        </w:rPr>
        <w:t>(</w:t>
      </w:r>
      <w:r>
        <w:rPr>
          <w:rFonts w:hint="eastAsia" w:ascii="仿宋" w:hAnsi="仿宋" w:eastAsia="仿宋"/>
          <w:sz w:val="32"/>
          <w:szCs w:val="32"/>
        </w:rPr>
        <w:t>按项级科目分类统计</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干部教育支出</w:t>
      </w:r>
      <w:r>
        <w:rPr>
          <w:rFonts w:ascii="仿宋" w:hAnsi="仿宋" w:eastAsia="仿宋"/>
          <w:sz w:val="32"/>
          <w:szCs w:val="32"/>
        </w:rPr>
        <w:t>577.29</w:t>
      </w:r>
      <w:r>
        <w:rPr>
          <w:rFonts w:hint="eastAsia" w:ascii="仿宋" w:hAnsi="仿宋" w:eastAsia="仿宋"/>
          <w:sz w:val="32"/>
          <w:szCs w:val="32"/>
        </w:rPr>
        <w:t>万元，较上年决算数增加</w:t>
      </w:r>
      <w:r>
        <w:rPr>
          <w:rFonts w:ascii="仿宋" w:hAnsi="仿宋" w:eastAsia="仿宋"/>
          <w:sz w:val="32"/>
          <w:szCs w:val="32"/>
        </w:rPr>
        <w:t>141.6</w:t>
      </w:r>
      <w:r>
        <w:rPr>
          <w:rFonts w:hint="eastAsia" w:ascii="仿宋" w:hAnsi="仿宋" w:eastAsia="仿宋"/>
          <w:sz w:val="32"/>
          <w:szCs w:val="32"/>
        </w:rPr>
        <w:t>万元，增长</w:t>
      </w:r>
      <w:r>
        <w:rPr>
          <w:rFonts w:ascii="仿宋" w:hAnsi="仿宋" w:eastAsia="仿宋"/>
          <w:sz w:val="32"/>
          <w:szCs w:val="32"/>
        </w:rPr>
        <w:t>0.33%</w:t>
      </w:r>
      <w:r>
        <w:rPr>
          <w:rFonts w:hint="eastAsia" w:ascii="仿宋" w:hAnsi="仿宋" w:eastAsia="仿宋"/>
          <w:sz w:val="32"/>
          <w:szCs w:val="32"/>
        </w:rPr>
        <w:t>。主要原因是：增加了上杭县处级干部和县管干部学习贯彻党的十九大精神专题研讨班经费</w:t>
      </w:r>
      <w:r>
        <w:rPr>
          <w:rFonts w:ascii="仿宋" w:hAnsi="仿宋" w:eastAsia="仿宋"/>
          <w:sz w:val="32"/>
          <w:szCs w:val="32"/>
        </w:rPr>
        <w:t>6.6</w:t>
      </w:r>
      <w:r>
        <w:rPr>
          <w:rFonts w:hint="eastAsia" w:ascii="仿宋" w:hAnsi="仿宋" w:eastAsia="仿宋"/>
          <w:sz w:val="32"/>
          <w:szCs w:val="32"/>
        </w:rPr>
        <w:t>万，省财政下拨党员干部继续教育基地补助款</w:t>
      </w:r>
      <w:r>
        <w:rPr>
          <w:rFonts w:ascii="仿宋" w:hAnsi="仿宋" w:eastAsia="仿宋"/>
          <w:sz w:val="32"/>
          <w:szCs w:val="32"/>
        </w:rPr>
        <w:t>135</w:t>
      </w:r>
      <w:r>
        <w:rPr>
          <w:rFonts w:hint="eastAsia" w:ascii="仿宋" w:hAnsi="仿宋" w:eastAsia="仿宋"/>
          <w:sz w:val="32"/>
          <w:szCs w:val="32"/>
        </w:rPr>
        <w:t>万元（列入委托业务费转入代建单位县城发公司）</w:t>
      </w:r>
      <w:r>
        <w:rPr>
          <w:rFonts w:ascii="仿宋" w:hAnsi="仿宋" w:eastAsia="仿宋"/>
          <w:sz w:val="32"/>
          <w:szCs w:val="32"/>
        </w:rPr>
        <w:t xml:space="preserve"> </w:t>
      </w:r>
      <w:r>
        <w:rPr>
          <w:rFonts w:hint="eastAsia" w:ascii="仿宋" w:hAnsi="仿宋" w:eastAsia="仿宋"/>
          <w:sz w:val="32"/>
          <w:szCs w:val="32"/>
        </w:rPr>
        <w:t>。</w:t>
      </w:r>
    </w:p>
    <w:p>
      <w:pPr>
        <w:tabs>
          <w:tab w:val="left" w:pos="7513"/>
        </w:tabs>
        <w:adjustRightInd w:val="0"/>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三、政府性基金支出决算情况说明</w:t>
      </w:r>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本单位</w:t>
      </w:r>
      <w:r>
        <w:rPr>
          <w:rFonts w:ascii="楷体" w:hAnsi="楷体" w:eastAsia="楷体" w:cs="仿宋_GB2312"/>
          <w:sz w:val="32"/>
          <w:szCs w:val="32"/>
        </w:rPr>
        <w:t>2018</w:t>
      </w:r>
      <w:r>
        <w:rPr>
          <w:rFonts w:hint="eastAsia" w:ascii="楷体" w:hAnsi="楷体" w:eastAsia="楷体" w:cs="仿宋_GB2312"/>
          <w:sz w:val="32"/>
          <w:szCs w:val="32"/>
        </w:rPr>
        <w:t>年度没有使用政府性基金预算拨款安排的支出。</w:t>
      </w:r>
    </w:p>
    <w:p>
      <w:pPr>
        <w:tabs>
          <w:tab w:val="left" w:pos="7513"/>
        </w:tabs>
        <w:adjustRightInd w:val="0"/>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四、一般公共预算财政拨款基本支出决算情况说明</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2018</w:t>
      </w:r>
      <w:r>
        <w:rPr>
          <w:rFonts w:hint="eastAsia" w:ascii="仿宋" w:hAnsi="仿宋" w:eastAsia="仿宋" w:cs="仿宋_GB2312"/>
          <w:sz w:val="32"/>
          <w:szCs w:val="32"/>
        </w:rPr>
        <w:t>年度</w:t>
      </w:r>
      <w:r>
        <w:rPr>
          <w:rFonts w:hint="eastAsia" w:ascii="仿宋" w:hAnsi="仿宋" w:eastAsia="仿宋"/>
          <w:sz w:val="32"/>
          <w:szCs w:val="32"/>
        </w:rPr>
        <w:t>一般公共预算</w:t>
      </w:r>
      <w:r>
        <w:rPr>
          <w:rFonts w:hint="eastAsia" w:ascii="仿宋" w:hAnsi="仿宋" w:eastAsia="仿宋" w:cs="仿宋_GB2312"/>
          <w:sz w:val="32"/>
          <w:szCs w:val="32"/>
        </w:rPr>
        <w:t>财政拨款基本支出</w:t>
      </w:r>
      <w:r>
        <w:rPr>
          <w:rFonts w:ascii="仿宋" w:hAnsi="仿宋" w:eastAsia="仿宋" w:cs="仿宋_GB2312"/>
          <w:sz w:val="32"/>
          <w:szCs w:val="32"/>
        </w:rPr>
        <w:t>577.29</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ascii="仿宋" w:hAnsi="仿宋" w:eastAsia="仿宋" w:cs="仿宋_GB2312"/>
          <w:sz w:val="32"/>
          <w:szCs w:val="32"/>
        </w:rPr>
        <w:t>367.1</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ascii="仿宋" w:hAnsi="仿宋" w:eastAsia="仿宋" w:cs="仿宋_GB2312"/>
          <w:sz w:val="32"/>
          <w:szCs w:val="32"/>
        </w:rPr>
        <w:t>210.19</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w:t>
      </w:r>
      <w:r>
        <w:rPr>
          <w:rFonts w:hint="eastAsia" w:ascii="黑体" w:hAnsi="黑体" w:eastAsia="黑体"/>
          <w:sz w:val="32"/>
          <w:szCs w:val="32"/>
        </w:rPr>
        <w:t>一般公共预算拨款</w:t>
      </w:r>
      <w:r>
        <w:rPr>
          <w:rFonts w:hint="eastAsia" w:ascii="黑体" w:hAnsi="黑体" w:eastAsia="黑体" w:cs="仿宋_GB2312"/>
          <w:bCs/>
          <w:sz w:val="32"/>
          <w:szCs w:val="32"/>
        </w:rPr>
        <w:t>“三公”经费支出决算情况说明</w:t>
      </w:r>
    </w:p>
    <w:p>
      <w:pPr>
        <w:tabs>
          <w:tab w:val="left" w:pos="7513"/>
        </w:tabs>
        <w:adjustRightInd w:val="0"/>
        <w:snapToGrid w:val="0"/>
        <w:spacing w:line="600" w:lineRule="exact"/>
        <w:ind w:firstLine="704" w:firstLineChars="220"/>
        <w:rPr>
          <w:rFonts w:ascii="仿宋" w:hAnsi="仿宋" w:eastAsia="仿宋" w:cs="仿宋_GB2312"/>
          <w:sz w:val="32"/>
          <w:szCs w:val="32"/>
        </w:rPr>
      </w:pPr>
      <w:r>
        <w:rPr>
          <w:rFonts w:ascii="仿宋" w:hAnsi="仿宋" w:eastAsia="仿宋" w:cs="仿宋_GB2312"/>
          <w:sz w:val="32"/>
          <w:szCs w:val="32"/>
        </w:rPr>
        <w:t>2018</w:t>
      </w:r>
      <w:r>
        <w:rPr>
          <w:rFonts w:hint="eastAsia" w:ascii="仿宋" w:hAnsi="仿宋" w:eastAsia="仿宋" w:cs="仿宋_GB2312"/>
          <w:sz w:val="32"/>
          <w:szCs w:val="32"/>
        </w:rPr>
        <w:t>年度“三公”经费一般公共预算拨款</w:t>
      </w:r>
      <w:r>
        <w:rPr>
          <w:rFonts w:ascii="仿宋" w:hAnsi="仿宋" w:eastAsia="仿宋" w:cs="仿宋_GB2312"/>
          <w:sz w:val="32"/>
          <w:szCs w:val="32"/>
        </w:rPr>
        <w:t>1.2</w:t>
      </w:r>
      <w:r>
        <w:rPr>
          <w:rFonts w:hint="eastAsia" w:ascii="仿宋" w:hAnsi="仿宋" w:eastAsia="仿宋" w:cs="仿宋_GB2312"/>
          <w:sz w:val="32"/>
          <w:szCs w:val="32"/>
        </w:rPr>
        <w:t>万元，同比增长</w:t>
      </w:r>
      <w:r>
        <w:rPr>
          <w:rFonts w:ascii="仿宋" w:hAnsi="仿宋" w:eastAsia="仿宋" w:cs="仿宋_GB2312"/>
          <w:sz w:val="32"/>
          <w:szCs w:val="32"/>
        </w:rPr>
        <w:t>31.67%</w:t>
      </w:r>
      <w:r>
        <w:rPr>
          <w:rFonts w:hint="eastAsia" w:ascii="仿宋" w:hAnsi="仿宋" w:eastAsia="仿宋" w:cs="仿宋_GB2312"/>
          <w:sz w:val="32"/>
          <w:szCs w:val="32"/>
        </w:rPr>
        <w:t>。具体情况如下：</w:t>
      </w:r>
      <w:r>
        <w:rPr>
          <w:rFonts w:ascii="仿宋" w:hAnsi="仿宋" w:eastAsia="仿宋" w:cs="仿宋_GB2312"/>
          <w:sz w:val="32"/>
          <w:szCs w:val="32"/>
        </w:rPr>
        <w:br w:type="textWrapping"/>
      </w:r>
      <w:r>
        <w:rPr>
          <w:rFonts w:hint="eastAsia" w:ascii="仿宋" w:hAnsi="仿宋" w:eastAsia="仿宋" w:cs="仿宋_GB2312"/>
          <w:sz w:val="32"/>
          <w:szCs w:val="32"/>
        </w:rPr>
        <w:t>　　（一）因公出国（境）费</w:t>
      </w:r>
      <w:r>
        <w:rPr>
          <w:rFonts w:ascii="仿宋" w:hAnsi="仿宋" w:eastAsia="仿宋" w:cs="仿宋_GB2312"/>
          <w:sz w:val="32"/>
          <w:szCs w:val="32"/>
        </w:rPr>
        <w:t>0</w:t>
      </w:r>
      <w:r>
        <w:rPr>
          <w:rFonts w:hint="eastAsia" w:ascii="仿宋" w:hAnsi="仿宋" w:eastAsia="仿宋" w:cs="仿宋_GB2312"/>
          <w:sz w:val="32"/>
          <w:szCs w:val="32"/>
        </w:rPr>
        <w:t>万元，</w:t>
      </w:r>
      <w:r>
        <w:rPr>
          <w:rFonts w:ascii="仿宋" w:hAnsi="仿宋" w:eastAsia="仿宋" w:cs="仿宋_GB2312"/>
          <w:sz w:val="32"/>
          <w:szCs w:val="32"/>
        </w:rPr>
        <w:t>2018</w:t>
      </w:r>
      <w:r>
        <w:rPr>
          <w:rFonts w:hint="eastAsia" w:ascii="仿宋" w:hAnsi="仿宋" w:eastAsia="仿宋" w:cs="仿宋_GB2312"/>
          <w:sz w:val="32"/>
          <w:szCs w:val="32"/>
        </w:rPr>
        <w:t>年本单位组织出国团组</w:t>
      </w:r>
      <w:r>
        <w:rPr>
          <w:rFonts w:ascii="仿宋" w:hAnsi="仿宋" w:eastAsia="仿宋" w:cs="仿宋_GB2312"/>
          <w:sz w:val="32"/>
          <w:szCs w:val="32"/>
        </w:rPr>
        <w:t>0</w:t>
      </w:r>
      <w:r>
        <w:rPr>
          <w:rFonts w:hint="eastAsia" w:ascii="仿宋" w:hAnsi="仿宋" w:eastAsia="仿宋" w:cs="仿宋_GB2312"/>
          <w:sz w:val="32"/>
          <w:szCs w:val="32"/>
        </w:rPr>
        <w:t>个，参加其他单位出国团组</w:t>
      </w:r>
      <w:r>
        <w:rPr>
          <w:rFonts w:ascii="仿宋" w:hAnsi="仿宋" w:eastAsia="仿宋" w:cs="仿宋_GB2312"/>
          <w:sz w:val="32"/>
          <w:szCs w:val="32"/>
        </w:rPr>
        <w:t>0</w:t>
      </w:r>
      <w:r>
        <w:rPr>
          <w:rFonts w:hint="eastAsia" w:ascii="仿宋" w:hAnsi="仿宋" w:eastAsia="仿宋" w:cs="仿宋_GB2312"/>
          <w:sz w:val="32"/>
          <w:szCs w:val="32"/>
        </w:rPr>
        <w:t>个；全年因公出国（境）累计</w:t>
      </w:r>
      <w:r>
        <w:rPr>
          <w:rFonts w:ascii="仿宋" w:hAnsi="仿宋" w:eastAsia="仿宋" w:cs="仿宋_GB2312"/>
          <w:sz w:val="32"/>
          <w:szCs w:val="32"/>
        </w:rPr>
        <w:t>0</w:t>
      </w:r>
      <w:r>
        <w:rPr>
          <w:rFonts w:hint="eastAsia" w:ascii="仿宋" w:hAnsi="仿宋" w:eastAsia="仿宋" w:cs="仿宋_GB2312"/>
          <w:sz w:val="32"/>
          <w:szCs w:val="32"/>
        </w:rPr>
        <w:t>人次。与</w:t>
      </w:r>
      <w:r>
        <w:rPr>
          <w:rFonts w:ascii="仿宋" w:hAnsi="仿宋" w:eastAsia="仿宋" w:cs="仿宋_GB2312"/>
          <w:sz w:val="32"/>
          <w:szCs w:val="32"/>
        </w:rPr>
        <w:t>2017</w:t>
      </w:r>
      <w:r>
        <w:rPr>
          <w:rFonts w:hint="eastAsia" w:ascii="仿宋" w:hAnsi="仿宋" w:eastAsia="仿宋" w:cs="仿宋_GB2312"/>
          <w:sz w:val="32"/>
          <w:szCs w:val="32"/>
        </w:rPr>
        <w:t>年相比</w:t>
      </w:r>
      <w:r>
        <w:rPr>
          <w:rFonts w:ascii="仿宋" w:hAnsi="仿宋" w:eastAsia="仿宋" w:cs="仿宋_GB2312"/>
          <w:sz w:val="32"/>
          <w:szCs w:val="32"/>
        </w:rPr>
        <w:t xml:space="preserve">, </w:t>
      </w:r>
      <w:r>
        <w:rPr>
          <w:rFonts w:hint="eastAsia" w:ascii="仿宋" w:hAnsi="仿宋" w:eastAsia="仿宋" w:cs="仿宋_GB2312"/>
          <w:sz w:val="32"/>
          <w:szCs w:val="32"/>
        </w:rPr>
        <w:t>因公出国（境）经费支出下降（增长）</w:t>
      </w:r>
      <w:r>
        <w:rPr>
          <w:rFonts w:ascii="仿宋" w:hAnsi="仿宋" w:eastAsia="仿宋" w:cs="仿宋_GB2312"/>
          <w:sz w:val="32"/>
          <w:szCs w:val="32"/>
        </w:rPr>
        <w:t>0%</w:t>
      </w:r>
      <w:r>
        <w:rPr>
          <w:rFonts w:hint="eastAsia" w:ascii="仿宋" w:hAnsi="仿宋" w:eastAsia="仿宋" w:cs="仿宋_GB2312"/>
          <w:sz w:val="32"/>
          <w:szCs w:val="32"/>
        </w:rPr>
        <w:t>。</w:t>
      </w:r>
      <w:r>
        <w:rPr>
          <w:rFonts w:ascii="仿宋" w:hAnsi="仿宋" w:eastAsia="仿宋" w:cs="仿宋_GB2312"/>
          <w:sz w:val="32"/>
          <w:szCs w:val="32"/>
        </w:rPr>
        <w:br w:type="textWrapping"/>
      </w:r>
      <w:r>
        <w:rPr>
          <w:rFonts w:ascii="仿宋" w:hAnsi="仿宋" w:eastAsia="仿宋" w:cs="仿宋_GB2312"/>
          <w:sz w:val="32"/>
          <w:szCs w:val="32"/>
        </w:rPr>
        <w:t xml:space="preserve">    </w:t>
      </w:r>
      <w:r>
        <w:rPr>
          <w:rFonts w:hint="eastAsia" w:ascii="仿宋" w:hAnsi="仿宋" w:eastAsia="仿宋" w:cs="仿宋_GB2312"/>
          <w:sz w:val="32"/>
          <w:szCs w:val="32"/>
        </w:rPr>
        <w:t>（二）公务用车购置及运行费</w:t>
      </w:r>
      <w:r>
        <w:rPr>
          <w:rFonts w:ascii="仿宋" w:hAnsi="仿宋" w:eastAsia="仿宋" w:cs="仿宋_GB2312"/>
          <w:sz w:val="32"/>
          <w:szCs w:val="32"/>
        </w:rPr>
        <w:t>0</w:t>
      </w:r>
      <w:r>
        <w:rPr>
          <w:rFonts w:hint="eastAsia" w:ascii="仿宋" w:hAnsi="仿宋" w:eastAsia="仿宋" w:cs="仿宋_GB2312"/>
          <w:sz w:val="32"/>
          <w:szCs w:val="32"/>
        </w:rPr>
        <w:t>万元。其中：公务用车购置费</w:t>
      </w:r>
      <w:r>
        <w:rPr>
          <w:rFonts w:ascii="仿宋" w:hAnsi="仿宋" w:eastAsia="仿宋" w:cs="仿宋_GB2312"/>
          <w:sz w:val="32"/>
          <w:szCs w:val="32"/>
        </w:rPr>
        <w:t>0</w:t>
      </w:r>
      <w:r>
        <w:rPr>
          <w:rFonts w:hint="eastAsia" w:ascii="仿宋" w:hAnsi="仿宋" w:eastAsia="仿宋" w:cs="仿宋_GB2312"/>
          <w:sz w:val="32"/>
          <w:szCs w:val="32"/>
        </w:rPr>
        <w:t>万元，</w:t>
      </w:r>
      <w:r>
        <w:rPr>
          <w:rFonts w:ascii="仿宋" w:hAnsi="仿宋" w:eastAsia="仿宋" w:cs="仿宋_GB2312"/>
          <w:sz w:val="32"/>
          <w:szCs w:val="32"/>
        </w:rPr>
        <w:t>2018</w:t>
      </w:r>
      <w:r>
        <w:rPr>
          <w:rFonts w:hint="eastAsia" w:ascii="仿宋" w:hAnsi="仿宋" w:eastAsia="仿宋" w:cs="仿宋_GB2312"/>
          <w:sz w:val="32"/>
          <w:szCs w:val="32"/>
        </w:rPr>
        <w:t>年公务用车购置</w:t>
      </w:r>
      <w:r>
        <w:rPr>
          <w:rFonts w:ascii="仿宋" w:hAnsi="仿宋" w:eastAsia="仿宋" w:cs="仿宋_GB2312"/>
          <w:sz w:val="32"/>
          <w:szCs w:val="32"/>
        </w:rPr>
        <w:t>0</w:t>
      </w:r>
      <w:r>
        <w:rPr>
          <w:rFonts w:hint="eastAsia" w:ascii="仿宋" w:hAnsi="仿宋" w:eastAsia="仿宋" w:cs="仿宋_GB2312"/>
          <w:sz w:val="32"/>
          <w:szCs w:val="32"/>
        </w:rPr>
        <w:t>辆。公务用车运行费</w:t>
      </w:r>
      <w:r>
        <w:rPr>
          <w:rFonts w:ascii="仿宋" w:hAnsi="仿宋" w:eastAsia="仿宋" w:cs="仿宋_GB2312"/>
          <w:sz w:val="32"/>
          <w:szCs w:val="32"/>
        </w:rPr>
        <w:t>0</w:t>
      </w:r>
      <w:r>
        <w:rPr>
          <w:rFonts w:hint="eastAsia" w:ascii="仿宋" w:hAnsi="仿宋" w:eastAsia="仿宋" w:cs="仿宋_GB2312"/>
          <w:sz w:val="32"/>
          <w:szCs w:val="32"/>
        </w:rPr>
        <w:t>万元，主要用于公务用车燃油、维修、保险等方面支出，年末公务用车保有量</w:t>
      </w:r>
      <w:r>
        <w:rPr>
          <w:rFonts w:ascii="仿宋" w:hAnsi="仿宋" w:eastAsia="仿宋" w:cs="仿宋_GB2312"/>
          <w:sz w:val="32"/>
          <w:szCs w:val="32"/>
        </w:rPr>
        <w:t>0</w:t>
      </w:r>
      <w:r>
        <w:rPr>
          <w:rFonts w:hint="eastAsia" w:ascii="仿宋" w:hAnsi="仿宋" w:eastAsia="仿宋" w:cs="仿宋_GB2312"/>
          <w:sz w:val="32"/>
          <w:szCs w:val="32"/>
        </w:rPr>
        <w:t>辆。与</w:t>
      </w:r>
      <w:r>
        <w:rPr>
          <w:rFonts w:ascii="仿宋" w:hAnsi="仿宋" w:eastAsia="仿宋" w:cs="仿宋_GB2312"/>
          <w:sz w:val="32"/>
          <w:szCs w:val="32"/>
        </w:rPr>
        <w:t>2017</w:t>
      </w:r>
      <w:r>
        <w:rPr>
          <w:rFonts w:hint="eastAsia" w:ascii="仿宋" w:hAnsi="仿宋" w:eastAsia="仿宋" w:cs="仿宋_GB2312"/>
          <w:sz w:val="32"/>
          <w:szCs w:val="32"/>
        </w:rPr>
        <w:t>年相比，公务用车购置费和运行费分别下降（增长）</w:t>
      </w:r>
      <w:r>
        <w:rPr>
          <w:rFonts w:ascii="仿宋" w:hAnsi="仿宋" w:eastAsia="仿宋" w:cs="仿宋_GB2312"/>
          <w:sz w:val="32"/>
          <w:szCs w:val="32"/>
        </w:rPr>
        <w:t>0%</w:t>
      </w:r>
      <w:r>
        <w:rPr>
          <w:rFonts w:hint="eastAsia" w:ascii="仿宋" w:hAnsi="仿宋" w:eastAsia="仿宋" w:cs="仿宋_GB2312"/>
          <w:sz w:val="32"/>
          <w:szCs w:val="32"/>
        </w:rPr>
        <w:t>。</w:t>
      </w:r>
      <w:r>
        <w:rPr>
          <w:rFonts w:ascii="仿宋" w:hAnsi="仿宋" w:eastAsia="仿宋" w:cs="仿宋_GB2312"/>
          <w:sz w:val="32"/>
          <w:szCs w:val="32"/>
        </w:rPr>
        <w:br w:type="textWrapping"/>
      </w:r>
      <w:r>
        <w:rPr>
          <w:rFonts w:hint="eastAsia" w:ascii="仿宋" w:hAnsi="仿宋" w:eastAsia="仿宋" w:cs="仿宋_GB2312"/>
          <w:sz w:val="32"/>
          <w:szCs w:val="32"/>
        </w:rPr>
        <w:t>　　（三）公务接待费</w:t>
      </w:r>
      <w:r>
        <w:rPr>
          <w:rFonts w:ascii="仿宋" w:hAnsi="仿宋" w:eastAsia="仿宋" w:cs="仿宋_GB2312"/>
          <w:sz w:val="32"/>
          <w:szCs w:val="32"/>
        </w:rPr>
        <w:t>1.2</w:t>
      </w:r>
      <w:r>
        <w:rPr>
          <w:rFonts w:hint="eastAsia" w:ascii="仿宋" w:hAnsi="仿宋" w:eastAsia="仿宋" w:cs="仿宋_GB2312"/>
          <w:sz w:val="32"/>
          <w:szCs w:val="32"/>
        </w:rPr>
        <w:t>万元。</w:t>
      </w:r>
      <w:r>
        <w:rPr>
          <w:rFonts w:hint="eastAsia" w:ascii="仿宋" w:hAnsi="仿宋" w:eastAsia="仿宋" w:cs="宋体"/>
          <w:color w:val="000000"/>
          <w:kern w:val="0"/>
          <w:sz w:val="32"/>
          <w:szCs w:val="32"/>
        </w:rPr>
        <w:t>主要用于上级党校和兄弟党校来杭交流、课题调研等方面的接待活动，</w:t>
      </w:r>
      <w:r>
        <w:rPr>
          <w:rFonts w:hint="eastAsia" w:ascii="仿宋" w:hAnsi="仿宋" w:eastAsia="仿宋" w:cs="仿宋_GB2312"/>
          <w:sz w:val="32"/>
          <w:szCs w:val="32"/>
        </w:rPr>
        <w:t>，累计接待</w:t>
      </w:r>
      <w:r>
        <w:rPr>
          <w:rFonts w:ascii="仿宋" w:hAnsi="仿宋" w:eastAsia="仿宋" w:cs="仿宋_GB2312"/>
          <w:sz w:val="32"/>
          <w:szCs w:val="32"/>
        </w:rPr>
        <w:t>16</w:t>
      </w:r>
      <w:r>
        <w:rPr>
          <w:rFonts w:hint="eastAsia" w:ascii="仿宋" w:hAnsi="仿宋" w:eastAsia="仿宋" w:cs="仿宋_GB2312"/>
          <w:sz w:val="32"/>
          <w:szCs w:val="32"/>
        </w:rPr>
        <w:t>批次、接待总人数</w:t>
      </w:r>
      <w:r>
        <w:rPr>
          <w:rFonts w:ascii="仿宋" w:hAnsi="仿宋" w:eastAsia="仿宋" w:cs="仿宋_GB2312"/>
          <w:sz w:val="32"/>
          <w:szCs w:val="32"/>
        </w:rPr>
        <w:t>150</w:t>
      </w:r>
      <w:r>
        <w:rPr>
          <w:rFonts w:hint="eastAsia" w:ascii="仿宋" w:hAnsi="仿宋" w:eastAsia="仿宋" w:cs="仿宋_GB2312"/>
          <w:sz w:val="32"/>
          <w:szCs w:val="32"/>
        </w:rPr>
        <w:t>人。与</w:t>
      </w:r>
      <w:r>
        <w:rPr>
          <w:rFonts w:ascii="仿宋" w:hAnsi="仿宋" w:eastAsia="仿宋" w:cs="仿宋_GB2312"/>
          <w:sz w:val="32"/>
          <w:szCs w:val="32"/>
        </w:rPr>
        <w:t>2017</w:t>
      </w:r>
      <w:r>
        <w:rPr>
          <w:rFonts w:hint="eastAsia" w:ascii="仿宋" w:hAnsi="仿宋" w:eastAsia="仿宋" w:cs="仿宋_GB2312"/>
          <w:sz w:val="32"/>
          <w:szCs w:val="32"/>
        </w:rPr>
        <w:t>年相比</w:t>
      </w:r>
      <w:r>
        <w:rPr>
          <w:rFonts w:ascii="仿宋" w:hAnsi="仿宋" w:eastAsia="仿宋" w:cs="仿宋_GB2312"/>
          <w:sz w:val="32"/>
          <w:szCs w:val="32"/>
        </w:rPr>
        <w:t xml:space="preserve">, </w:t>
      </w:r>
      <w:r>
        <w:rPr>
          <w:rFonts w:hint="eastAsia" w:ascii="仿宋" w:hAnsi="仿宋" w:eastAsia="仿宋" w:cs="仿宋_GB2312"/>
          <w:sz w:val="32"/>
          <w:szCs w:val="32"/>
        </w:rPr>
        <w:t>公务接待费支出增长</w:t>
      </w:r>
      <w:r>
        <w:rPr>
          <w:rFonts w:ascii="仿宋" w:hAnsi="仿宋" w:eastAsia="仿宋" w:cs="仿宋_GB2312"/>
          <w:sz w:val="32"/>
          <w:szCs w:val="32"/>
        </w:rPr>
        <w:t>32%</w:t>
      </w:r>
      <w:r>
        <w:rPr>
          <w:rFonts w:hint="eastAsia" w:ascii="仿宋" w:hAnsi="仿宋" w:eastAsia="仿宋" w:cs="仿宋_GB2312"/>
          <w:sz w:val="32"/>
          <w:szCs w:val="32"/>
        </w:rPr>
        <w:t>，主要是</w:t>
      </w:r>
      <w:r>
        <w:rPr>
          <w:rFonts w:ascii="仿宋" w:hAnsi="仿宋" w:eastAsia="仿宋" w:cs="仿宋_GB2312"/>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上级党校和兄弟党校来杭交流、课题调研增加</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六、预算绩效情况说明</w:t>
      </w:r>
    </w:p>
    <w:p>
      <w:pPr>
        <w:ind w:firstLine="643" w:firstLineChars="200"/>
        <w:rPr>
          <w:rFonts w:ascii="楷体" w:hAnsi="楷体" w:eastAsia="楷体"/>
          <w:b/>
          <w:sz w:val="32"/>
          <w:szCs w:val="32"/>
        </w:rPr>
      </w:pPr>
      <w:r>
        <w:rPr>
          <w:rFonts w:hint="eastAsia" w:ascii="楷体" w:hAnsi="楷体" w:eastAsia="楷体"/>
          <w:b/>
          <w:sz w:val="32"/>
          <w:szCs w:val="32"/>
        </w:rPr>
        <w:t>（一）绩效管理工作开展情况</w:t>
      </w:r>
    </w:p>
    <w:p>
      <w:pPr>
        <w:ind w:firstLine="640" w:firstLineChars="200"/>
        <w:rPr>
          <w:rFonts w:ascii="仿宋" w:hAnsi="仿宋" w:eastAsia="仿宋"/>
          <w:sz w:val="32"/>
          <w:szCs w:val="32"/>
        </w:rPr>
      </w:pPr>
      <w:r>
        <w:rPr>
          <w:rFonts w:hint="eastAsia" w:ascii="仿宋" w:hAnsi="仿宋" w:eastAsia="仿宋"/>
          <w:sz w:val="32"/>
          <w:szCs w:val="32"/>
        </w:rPr>
        <w:t>根据预算绩效管理要求，共对</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0</w:t>
      </w:r>
      <w:r>
        <w:rPr>
          <w:rFonts w:hint="eastAsia" w:ascii="仿宋" w:hAnsi="仿宋" w:eastAsia="仿宋"/>
          <w:sz w:val="32"/>
          <w:szCs w:val="32"/>
        </w:rPr>
        <w:t>个清单项目实施绩效监控，分别是</w:t>
      </w:r>
      <w:r>
        <w:rPr>
          <w:rFonts w:ascii="仿宋" w:hAnsi="仿宋" w:eastAsia="仿宋"/>
          <w:sz w:val="32"/>
          <w:szCs w:val="32"/>
        </w:rPr>
        <w:t>0</w:t>
      </w:r>
      <w:r>
        <w:rPr>
          <w:rFonts w:hint="eastAsia" w:ascii="仿宋" w:hAnsi="仿宋" w:eastAsia="仿宋"/>
          <w:sz w:val="32"/>
          <w:szCs w:val="32"/>
        </w:rPr>
        <w:t>，涉及财政拨款资金</w:t>
      </w:r>
      <w:r>
        <w:rPr>
          <w:rFonts w:ascii="仿宋" w:hAnsi="仿宋" w:eastAsia="仿宋"/>
          <w:sz w:val="32"/>
          <w:szCs w:val="32"/>
        </w:rPr>
        <w:t>0</w:t>
      </w:r>
      <w:r>
        <w:rPr>
          <w:rFonts w:hint="eastAsia" w:ascii="仿宋" w:hAnsi="仿宋" w:eastAsia="仿宋"/>
          <w:sz w:val="32"/>
          <w:szCs w:val="32"/>
        </w:rPr>
        <w:t>万元。同时，对</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0</w:t>
      </w:r>
      <w:r>
        <w:rPr>
          <w:rFonts w:hint="eastAsia" w:ascii="仿宋" w:hAnsi="仿宋" w:eastAsia="仿宋"/>
          <w:sz w:val="32"/>
          <w:szCs w:val="32"/>
        </w:rPr>
        <w:t>万元业务费实施绩效监控。</w:t>
      </w:r>
    </w:p>
    <w:p>
      <w:pPr>
        <w:ind w:firstLine="640" w:firstLineChars="200"/>
        <w:rPr>
          <w:rFonts w:ascii="仿宋" w:hAnsi="仿宋" w:eastAsia="仿宋"/>
          <w:sz w:val="32"/>
          <w:szCs w:val="32"/>
        </w:rPr>
      </w:pPr>
      <w:r>
        <w:rPr>
          <w:rFonts w:hint="eastAsia" w:ascii="仿宋" w:hAnsi="仿宋" w:eastAsia="仿宋"/>
          <w:sz w:val="32"/>
          <w:szCs w:val="32"/>
        </w:rPr>
        <w:t>共对</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0</w:t>
      </w:r>
      <w:r>
        <w:rPr>
          <w:rFonts w:hint="eastAsia" w:ascii="仿宋" w:hAnsi="仿宋" w:eastAsia="仿宋"/>
          <w:sz w:val="32"/>
          <w:szCs w:val="32"/>
        </w:rPr>
        <w:t>个清单项目开展绩效自评，分别是</w:t>
      </w:r>
      <w:r>
        <w:rPr>
          <w:rFonts w:ascii="仿宋" w:hAnsi="仿宋" w:eastAsia="仿宋"/>
          <w:sz w:val="32"/>
          <w:szCs w:val="32"/>
        </w:rPr>
        <w:t>0</w:t>
      </w:r>
      <w:r>
        <w:rPr>
          <w:rFonts w:hint="eastAsia" w:ascii="仿宋" w:hAnsi="仿宋" w:eastAsia="仿宋"/>
          <w:sz w:val="32"/>
          <w:szCs w:val="32"/>
        </w:rPr>
        <w:t>，涉及财政拨款资金</w:t>
      </w:r>
      <w:r>
        <w:rPr>
          <w:rFonts w:ascii="仿宋" w:hAnsi="仿宋" w:eastAsia="仿宋"/>
          <w:sz w:val="32"/>
          <w:szCs w:val="32"/>
        </w:rPr>
        <w:t>0</w:t>
      </w:r>
      <w:r>
        <w:rPr>
          <w:rFonts w:hint="eastAsia" w:ascii="仿宋" w:hAnsi="仿宋" w:eastAsia="仿宋"/>
          <w:sz w:val="32"/>
          <w:szCs w:val="32"/>
        </w:rPr>
        <w:t>万元。同时，对</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0</w:t>
      </w:r>
      <w:r>
        <w:rPr>
          <w:rFonts w:hint="eastAsia" w:ascii="仿宋" w:hAnsi="仿宋" w:eastAsia="仿宋"/>
          <w:sz w:val="32"/>
          <w:szCs w:val="32"/>
        </w:rPr>
        <w:t>万元业务费开展绩效自评。</w:t>
      </w:r>
    </w:p>
    <w:p>
      <w:pPr>
        <w:ind w:firstLine="643" w:firstLineChars="200"/>
        <w:rPr>
          <w:rFonts w:ascii="楷体" w:hAnsi="楷体" w:eastAsia="楷体"/>
          <w:b/>
          <w:sz w:val="32"/>
          <w:szCs w:val="32"/>
        </w:rPr>
      </w:pPr>
      <w:r>
        <w:rPr>
          <w:rFonts w:hint="eastAsia" w:ascii="楷体" w:hAnsi="楷体" w:eastAsia="楷体"/>
          <w:b/>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无清单项目绩效自评综述：根据年初设定的绩效目标，无项目自评得分为</w:t>
      </w:r>
      <w:r>
        <w:rPr>
          <w:rFonts w:ascii="仿宋" w:hAnsi="仿宋" w:eastAsia="仿宋"/>
          <w:sz w:val="32"/>
          <w:szCs w:val="32"/>
        </w:rPr>
        <w:t>0</w:t>
      </w:r>
      <w:r>
        <w:rPr>
          <w:rFonts w:hint="eastAsia" w:ascii="仿宋" w:hAnsi="仿宋" w:eastAsia="仿宋"/>
          <w:sz w:val="32"/>
          <w:szCs w:val="32"/>
        </w:rPr>
        <w:t>分，自评等次为无。项目全年预算数为</w:t>
      </w:r>
      <w:r>
        <w:rPr>
          <w:rFonts w:ascii="仿宋" w:hAnsi="仿宋" w:eastAsia="仿宋"/>
          <w:sz w:val="32"/>
          <w:szCs w:val="32"/>
        </w:rPr>
        <w:t>0</w:t>
      </w:r>
      <w:r>
        <w:rPr>
          <w:rFonts w:hint="eastAsia" w:ascii="仿宋" w:hAnsi="仿宋" w:eastAsia="仿宋"/>
          <w:sz w:val="32"/>
          <w:szCs w:val="32"/>
        </w:rPr>
        <w:t>万元，执行数为</w:t>
      </w:r>
      <w:r>
        <w:rPr>
          <w:rFonts w:ascii="仿宋" w:hAnsi="仿宋" w:eastAsia="仿宋"/>
          <w:sz w:val="32"/>
          <w:szCs w:val="32"/>
        </w:rPr>
        <w:t>0</w:t>
      </w:r>
      <w:r>
        <w:rPr>
          <w:rFonts w:hint="eastAsia" w:ascii="仿宋" w:hAnsi="仿宋" w:eastAsia="仿宋"/>
          <w:sz w:val="32"/>
          <w:szCs w:val="32"/>
        </w:rPr>
        <w:t>万元，完成预算的</w:t>
      </w:r>
      <w:r>
        <w:rPr>
          <w:rFonts w:ascii="仿宋" w:hAnsi="仿宋" w:eastAsia="仿宋"/>
          <w:sz w:val="32"/>
          <w:szCs w:val="32"/>
        </w:rPr>
        <w:t>0%</w:t>
      </w:r>
      <w:r>
        <w:rPr>
          <w:rFonts w:hint="eastAsia" w:ascii="仿宋" w:hAnsi="仿宋" w:eastAsia="仿宋"/>
          <w:sz w:val="32"/>
          <w:szCs w:val="32"/>
        </w:rPr>
        <w:t>。主要产出和效果：无。发现的主要问题：无。下一步改进措施：无。</w:t>
      </w:r>
    </w:p>
    <w:p>
      <w:pPr>
        <w:ind w:firstLine="640" w:firstLineChars="200"/>
        <w:rPr>
          <w:rFonts w:ascii="仿宋" w:hAnsi="仿宋" w:eastAsia="仿宋"/>
          <w:sz w:val="32"/>
          <w:szCs w:val="32"/>
        </w:rPr>
      </w:pPr>
      <w:r>
        <w:rPr>
          <w:rFonts w:hint="eastAsia" w:ascii="仿宋" w:hAnsi="仿宋" w:eastAsia="仿宋"/>
          <w:sz w:val="32"/>
          <w:szCs w:val="32"/>
        </w:rPr>
        <w:t>部门业务费绩效自评综述：根据年初设定的绩效目标，部门业务费自评得分为</w:t>
      </w:r>
      <w:r>
        <w:rPr>
          <w:rFonts w:ascii="仿宋" w:hAnsi="仿宋" w:eastAsia="仿宋"/>
          <w:sz w:val="32"/>
          <w:szCs w:val="32"/>
        </w:rPr>
        <w:t>0</w:t>
      </w:r>
      <w:r>
        <w:rPr>
          <w:rFonts w:hint="eastAsia" w:ascii="仿宋" w:hAnsi="仿宋" w:eastAsia="仿宋"/>
          <w:sz w:val="32"/>
          <w:szCs w:val="32"/>
        </w:rPr>
        <w:t>分，自评等次为无。部门业务费全年预算数为</w:t>
      </w:r>
      <w:r>
        <w:rPr>
          <w:rFonts w:ascii="仿宋" w:hAnsi="仿宋" w:eastAsia="仿宋"/>
          <w:sz w:val="32"/>
          <w:szCs w:val="32"/>
        </w:rPr>
        <w:t>0</w:t>
      </w:r>
      <w:r>
        <w:rPr>
          <w:rFonts w:hint="eastAsia" w:ascii="仿宋" w:hAnsi="仿宋" w:eastAsia="仿宋"/>
          <w:sz w:val="32"/>
          <w:szCs w:val="32"/>
        </w:rPr>
        <w:t>万元，执行数为</w:t>
      </w:r>
      <w:r>
        <w:rPr>
          <w:rFonts w:ascii="仿宋" w:hAnsi="仿宋" w:eastAsia="仿宋"/>
          <w:sz w:val="32"/>
          <w:szCs w:val="32"/>
        </w:rPr>
        <w:t>0</w:t>
      </w:r>
      <w:r>
        <w:rPr>
          <w:rFonts w:hint="eastAsia" w:ascii="仿宋" w:hAnsi="仿宋" w:eastAsia="仿宋"/>
          <w:sz w:val="32"/>
          <w:szCs w:val="32"/>
        </w:rPr>
        <w:t>万元，完成预算的</w:t>
      </w:r>
      <w:r>
        <w:rPr>
          <w:rFonts w:ascii="仿宋" w:hAnsi="仿宋" w:eastAsia="仿宋"/>
          <w:sz w:val="32"/>
          <w:szCs w:val="32"/>
        </w:rPr>
        <w:t>0%</w:t>
      </w:r>
      <w:r>
        <w:rPr>
          <w:rFonts w:hint="eastAsia" w:ascii="仿宋" w:hAnsi="仿宋" w:eastAsia="仿宋"/>
          <w:sz w:val="32"/>
          <w:szCs w:val="32"/>
        </w:rPr>
        <w:t>。主要产出和效果：无。发现的主要问题：无。下一步改进措施：无。</w:t>
      </w:r>
    </w:p>
    <w:p>
      <w:p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七、其他重要事项说明</w:t>
      </w:r>
    </w:p>
    <w:p>
      <w:pPr>
        <w:tabs>
          <w:tab w:val="left" w:pos="7513"/>
        </w:tabs>
        <w:adjustRightInd w:val="0"/>
        <w:snapToGrid w:val="0"/>
        <w:spacing w:line="600" w:lineRule="exact"/>
        <w:ind w:firstLine="643" w:firstLineChars="200"/>
        <w:rPr>
          <w:rFonts w:ascii="黑体" w:hAnsi="黑体" w:eastAsia="黑体" w:cs="仿宋_GB2312"/>
          <w:bCs/>
          <w:sz w:val="32"/>
          <w:szCs w:val="32"/>
        </w:rPr>
      </w:pPr>
      <w:r>
        <w:rPr>
          <w:rFonts w:hint="eastAsia" w:ascii="楷体" w:hAnsi="楷体" w:eastAsia="楷体"/>
          <w:b/>
          <w:sz w:val="32"/>
          <w:szCs w:val="32"/>
        </w:rPr>
        <w:t>（一）机关运行经费</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2018</w:t>
      </w:r>
      <w:r>
        <w:rPr>
          <w:rFonts w:hint="eastAsia" w:ascii="仿宋" w:hAnsi="仿宋" w:eastAsia="仿宋" w:cs="仿宋_GB2312"/>
          <w:sz w:val="32"/>
          <w:szCs w:val="32"/>
        </w:rPr>
        <w:t>年度机关运行经费支出</w:t>
      </w:r>
      <w:r>
        <w:rPr>
          <w:rFonts w:ascii="仿宋" w:hAnsi="仿宋" w:eastAsia="仿宋" w:cs="仿宋_GB2312"/>
          <w:sz w:val="32"/>
          <w:szCs w:val="32"/>
        </w:rPr>
        <w:t>210.19</w:t>
      </w:r>
      <w:r>
        <w:rPr>
          <w:rFonts w:hint="eastAsia" w:ascii="仿宋" w:hAnsi="仿宋" w:eastAsia="仿宋" w:cs="仿宋_GB2312"/>
          <w:sz w:val="32"/>
          <w:szCs w:val="32"/>
        </w:rPr>
        <w:t>万元，比</w:t>
      </w:r>
      <w:r>
        <w:rPr>
          <w:rFonts w:hint="eastAsia" w:ascii="仿宋" w:hAnsi="仿宋" w:eastAsia="仿宋"/>
          <w:sz w:val="32"/>
          <w:szCs w:val="32"/>
        </w:rPr>
        <w:t>上年</w:t>
      </w:r>
      <w:r>
        <w:rPr>
          <w:rFonts w:hint="eastAsia" w:ascii="仿宋" w:hAnsi="仿宋" w:eastAsia="仿宋" w:cs="仿宋_GB2312"/>
          <w:sz w:val="32"/>
          <w:szCs w:val="32"/>
        </w:rPr>
        <w:t>决算数增长</w:t>
      </w:r>
      <w:r>
        <w:rPr>
          <w:rFonts w:ascii="仿宋" w:hAnsi="仿宋" w:eastAsia="仿宋" w:cs="仿宋_GB2312"/>
          <w:sz w:val="32"/>
          <w:szCs w:val="32"/>
        </w:rPr>
        <w:t>469%</w:t>
      </w:r>
      <w:r>
        <w:rPr>
          <w:rFonts w:hint="eastAsia" w:ascii="仿宋" w:hAnsi="仿宋" w:eastAsia="仿宋" w:cs="仿宋_GB2312"/>
          <w:sz w:val="32"/>
          <w:szCs w:val="32"/>
        </w:rPr>
        <w:t>，主要是</w:t>
      </w:r>
      <w:r>
        <w:rPr>
          <w:rFonts w:ascii="仿宋" w:hAnsi="仿宋" w:eastAsia="仿宋" w:cs="仿宋_GB2312"/>
          <w:sz w:val="32"/>
          <w:szCs w:val="32"/>
        </w:rPr>
        <w:t>:</w:t>
      </w:r>
      <w:r>
        <w:rPr>
          <w:rFonts w:hint="eastAsia" w:ascii="仿宋" w:hAnsi="仿宋" w:eastAsia="仿宋" w:cs="仿宋_GB2312"/>
          <w:sz w:val="32"/>
          <w:szCs w:val="32"/>
        </w:rPr>
        <w:t>办公费、劳务费、邮电费、</w:t>
      </w:r>
      <w:r>
        <w:rPr>
          <w:rFonts w:hint="eastAsia" w:ascii="仿宋" w:hAnsi="仿宋" w:eastAsia="仿宋" w:cs="仿宋"/>
          <w:color w:val="000000"/>
          <w:kern w:val="0"/>
          <w:sz w:val="32"/>
          <w:szCs w:val="32"/>
        </w:rPr>
        <w:t>差旅费、</w:t>
      </w:r>
      <w:r>
        <w:rPr>
          <w:rFonts w:hint="eastAsia" w:ascii="仿宋" w:hAnsi="仿宋" w:eastAsia="仿宋"/>
          <w:sz w:val="32"/>
          <w:szCs w:val="32"/>
        </w:rPr>
        <w:t>福利费、日常维修费、专用材料及一般设备购置费、上杭县处级干部和县管干部学习贯彻党的十九大精神专题研讨班经费</w:t>
      </w:r>
      <w:r>
        <w:rPr>
          <w:rFonts w:ascii="仿宋" w:hAnsi="仿宋" w:eastAsia="仿宋"/>
          <w:sz w:val="32"/>
          <w:szCs w:val="32"/>
        </w:rPr>
        <w:t>6.6</w:t>
      </w:r>
      <w:r>
        <w:rPr>
          <w:rFonts w:hint="eastAsia" w:ascii="仿宋" w:hAnsi="仿宋" w:eastAsia="仿宋"/>
          <w:sz w:val="32"/>
          <w:szCs w:val="32"/>
        </w:rPr>
        <w:t>万，省财政下拨党员干部继续教育基地补助款</w:t>
      </w:r>
      <w:r>
        <w:rPr>
          <w:rFonts w:ascii="仿宋" w:hAnsi="仿宋" w:eastAsia="仿宋"/>
          <w:sz w:val="32"/>
          <w:szCs w:val="32"/>
        </w:rPr>
        <w:t>135</w:t>
      </w:r>
      <w:r>
        <w:rPr>
          <w:rFonts w:hint="eastAsia" w:ascii="仿宋" w:hAnsi="仿宋" w:eastAsia="仿宋"/>
          <w:sz w:val="32"/>
          <w:szCs w:val="32"/>
        </w:rPr>
        <w:t>万元（列入委托业务费转入代建单位县城发公司）等支出增加</w:t>
      </w:r>
      <w:r>
        <w:rPr>
          <w:rFonts w:hint="eastAsia" w:ascii="仿宋" w:hAnsi="仿宋" w:eastAsia="仿宋" w:cs="仿宋_GB2312"/>
          <w:sz w:val="32"/>
          <w:szCs w:val="32"/>
        </w:rPr>
        <w:t>。</w:t>
      </w:r>
    </w:p>
    <w:p>
      <w:pPr>
        <w:autoSpaceDE w:val="0"/>
        <w:autoSpaceDN w:val="0"/>
        <w:adjustRightInd w:val="0"/>
        <w:spacing w:line="600" w:lineRule="exact"/>
        <w:ind w:firstLine="643" w:firstLineChars="200"/>
        <w:jc w:val="left"/>
        <w:rPr>
          <w:rFonts w:ascii="黑体" w:hAnsi="黑体" w:eastAsia="黑体" w:cs="仿宋_GB2312"/>
          <w:kern w:val="0"/>
          <w:sz w:val="32"/>
          <w:szCs w:val="32"/>
        </w:rPr>
      </w:pPr>
      <w:r>
        <w:rPr>
          <w:rFonts w:hint="eastAsia" w:ascii="楷体" w:hAnsi="楷体" w:eastAsia="楷体"/>
          <w:b/>
          <w:sz w:val="32"/>
          <w:szCs w:val="32"/>
        </w:rPr>
        <w:t>（二）政府采购情况</w:t>
      </w:r>
    </w:p>
    <w:p>
      <w:pPr>
        <w:autoSpaceDE w:val="0"/>
        <w:autoSpaceDN w:val="0"/>
        <w:adjustRightInd w:val="0"/>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本部门</w:t>
      </w:r>
      <w:r>
        <w:rPr>
          <w:rFonts w:ascii="仿宋" w:hAnsi="仿宋" w:eastAsia="仿宋" w:cs="仿宋_GB2312"/>
          <w:sz w:val="32"/>
          <w:szCs w:val="32"/>
        </w:rPr>
        <w:t>2018</w:t>
      </w:r>
      <w:r>
        <w:rPr>
          <w:rFonts w:hint="eastAsia" w:ascii="仿宋" w:hAnsi="仿宋" w:eastAsia="仿宋" w:cs="仿宋_GB2312"/>
          <w:sz w:val="32"/>
          <w:szCs w:val="32"/>
        </w:rPr>
        <w:t>年度</w:t>
      </w:r>
      <w:r>
        <w:rPr>
          <w:rFonts w:hint="eastAsia" w:ascii="仿宋" w:hAnsi="仿宋" w:eastAsia="仿宋" w:cs="仿宋_GB2312"/>
          <w:kern w:val="0"/>
          <w:sz w:val="32"/>
          <w:szCs w:val="32"/>
        </w:rPr>
        <w:t>政府采购支出总额</w:t>
      </w:r>
      <w:r>
        <w:rPr>
          <w:rFonts w:ascii="仿宋" w:hAnsi="仿宋" w:eastAsia="仿宋" w:cs="仿宋_GB2312"/>
          <w:sz w:val="32"/>
          <w:szCs w:val="32"/>
        </w:rPr>
        <w:t>19.64</w:t>
      </w:r>
      <w:r>
        <w:rPr>
          <w:rFonts w:hint="eastAsia" w:ascii="仿宋" w:hAnsi="仿宋" w:eastAsia="仿宋" w:cs="仿宋_GB2312"/>
          <w:kern w:val="0"/>
          <w:sz w:val="32"/>
          <w:szCs w:val="32"/>
        </w:rPr>
        <w:t>万元，其中：政府采购货物支出</w:t>
      </w:r>
      <w:r>
        <w:rPr>
          <w:rFonts w:ascii="仿宋" w:hAnsi="仿宋" w:eastAsia="仿宋" w:cs="仿宋_GB2312"/>
          <w:sz w:val="32"/>
          <w:szCs w:val="32"/>
        </w:rPr>
        <w:t>19.64</w:t>
      </w:r>
      <w:r>
        <w:rPr>
          <w:rFonts w:hint="eastAsia" w:ascii="仿宋" w:hAnsi="仿宋" w:eastAsia="仿宋" w:cs="仿宋_GB2312"/>
          <w:kern w:val="0"/>
          <w:sz w:val="32"/>
          <w:szCs w:val="32"/>
        </w:rPr>
        <w:t>万元、政府采购工程支出</w:t>
      </w:r>
      <w:r>
        <w:rPr>
          <w:rFonts w:ascii="仿宋" w:hAnsi="仿宋" w:eastAsia="仿宋" w:cs="仿宋_GB2312"/>
          <w:sz w:val="32"/>
          <w:szCs w:val="32"/>
        </w:rPr>
        <w:t>0</w:t>
      </w:r>
      <w:r>
        <w:rPr>
          <w:rFonts w:hint="eastAsia" w:ascii="仿宋" w:hAnsi="仿宋" w:eastAsia="仿宋" w:cs="仿宋_GB2312"/>
          <w:kern w:val="0"/>
          <w:sz w:val="32"/>
          <w:szCs w:val="32"/>
        </w:rPr>
        <w:t>万元、政府采购服务支出</w:t>
      </w:r>
      <w:r>
        <w:rPr>
          <w:rFonts w:ascii="仿宋" w:hAnsi="仿宋" w:eastAsia="仿宋" w:cs="仿宋_GB2312"/>
          <w:sz w:val="32"/>
          <w:szCs w:val="32"/>
        </w:rPr>
        <w:t>0</w:t>
      </w:r>
      <w:r>
        <w:rPr>
          <w:rFonts w:hint="eastAsia" w:ascii="仿宋" w:hAnsi="仿宋" w:eastAsia="仿宋" w:cs="仿宋_GB2312"/>
          <w:kern w:val="0"/>
          <w:sz w:val="32"/>
          <w:szCs w:val="32"/>
        </w:rPr>
        <w:t>万元；授予中小企业的合同金额为</w:t>
      </w:r>
      <w:r>
        <w:rPr>
          <w:rFonts w:ascii="仿宋" w:hAnsi="仿宋" w:eastAsia="仿宋" w:cs="仿宋_GB2312"/>
          <w:kern w:val="0"/>
          <w:sz w:val="32"/>
          <w:szCs w:val="32"/>
        </w:rPr>
        <w:t>19.64</w:t>
      </w:r>
      <w:r>
        <w:rPr>
          <w:rFonts w:hint="eastAsia" w:ascii="仿宋" w:hAnsi="仿宋" w:eastAsia="仿宋" w:cs="仿宋_GB2312"/>
          <w:kern w:val="0"/>
          <w:sz w:val="32"/>
          <w:szCs w:val="32"/>
        </w:rPr>
        <w:t>万元，占政府采购支出总额的比重为</w:t>
      </w:r>
      <w:r>
        <w:rPr>
          <w:rFonts w:ascii="仿宋" w:hAnsi="仿宋" w:eastAsia="仿宋" w:cs="仿宋_GB2312"/>
          <w:kern w:val="0"/>
          <w:sz w:val="32"/>
          <w:szCs w:val="32"/>
        </w:rPr>
        <w:t>100%</w:t>
      </w:r>
      <w:r>
        <w:rPr>
          <w:rFonts w:hint="eastAsia" w:ascii="仿宋" w:hAnsi="仿宋" w:eastAsia="仿宋" w:cs="仿宋_GB2312"/>
          <w:kern w:val="0"/>
          <w:sz w:val="32"/>
          <w:szCs w:val="32"/>
        </w:rPr>
        <w:t>。</w:t>
      </w:r>
    </w:p>
    <w:p>
      <w:pPr>
        <w:tabs>
          <w:tab w:val="left" w:pos="7513"/>
        </w:tabs>
        <w:adjustRightInd w:val="0"/>
        <w:snapToGrid w:val="0"/>
        <w:spacing w:line="600" w:lineRule="exact"/>
        <w:ind w:firstLine="707" w:firstLineChars="220"/>
        <w:rPr>
          <w:rFonts w:ascii="黑体" w:hAnsi="黑体" w:eastAsia="黑体"/>
          <w:sz w:val="32"/>
          <w:szCs w:val="32"/>
        </w:rPr>
      </w:pPr>
      <w:r>
        <w:rPr>
          <w:rFonts w:hint="eastAsia" w:ascii="楷体" w:hAnsi="楷体" w:eastAsia="楷体"/>
          <w:b/>
          <w:sz w:val="32"/>
          <w:szCs w:val="32"/>
        </w:rPr>
        <w:t>（三）国有资产占用使用情况</w:t>
      </w:r>
    </w:p>
    <w:p>
      <w:pPr>
        <w:tabs>
          <w:tab w:val="left" w:pos="7513"/>
        </w:tabs>
        <w:adjustRightInd w:val="0"/>
        <w:snapToGrid w:val="0"/>
        <w:spacing w:line="600" w:lineRule="exact"/>
        <w:ind w:firstLine="704" w:firstLineChars="220"/>
        <w:rPr>
          <w:rFonts w:ascii="仿宋" w:hAnsi="仿宋" w:eastAsia="仿宋" w:cs="仿宋_GB2312"/>
          <w:kern w:val="0"/>
          <w:sz w:val="32"/>
          <w:szCs w:val="32"/>
        </w:rPr>
      </w:pPr>
      <w:r>
        <w:rPr>
          <w:rFonts w:hint="eastAsia" w:ascii="仿宋" w:hAnsi="仿宋" w:eastAsia="仿宋" w:cs="仿宋_GB2312"/>
          <w:kern w:val="0"/>
          <w:sz w:val="32"/>
          <w:szCs w:val="32"/>
        </w:rPr>
        <w:t>截至</w:t>
      </w:r>
      <w:r>
        <w:rPr>
          <w:rFonts w:ascii="仿宋" w:hAnsi="仿宋" w:eastAsia="仿宋"/>
          <w:sz w:val="32"/>
          <w:szCs w:val="32"/>
        </w:rPr>
        <w:t>2018</w:t>
      </w:r>
      <w:r>
        <w:rPr>
          <w:rFonts w:hint="eastAsia" w:ascii="仿宋" w:hAnsi="仿宋" w:eastAsia="仿宋" w:cs="仿宋_GB2312"/>
          <w:kern w:val="0"/>
          <w:sz w:val="32"/>
          <w:szCs w:val="32"/>
        </w:rPr>
        <w:t>年</w:t>
      </w:r>
      <w:r>
        <w:rPr>
          <w:rFonts w:ascii="仿宋" w:hAnsi="仿宋" w:eastAsia="仿宋" w:cs="仿宋_GB2312"/>
          <w:kern w:val="0"/>
          <w:sz w:val="32"/>
          <w:szCs w:val="32"/>
        </w:rPr>
        <w:t>12</w:t>
      </w:r>
      <w:r>
        <w:rPr>
          <w:rFonts w:hint="eastAsia" w:ascii="仿宋" w:hAnsi="仿宋" w:eastAsia="仿宋" w:cs="仿宋_GB2312"/>
          <w:kern w:val="0"/>
          <w:sz w:val="32"/>
          <w:szCs w:val="32"/>
        </w:rPr>
        <w:t>月</w:t>
      </w:r>
      <w:r>
        <w:rPr>
          <w:rFonts w:ascii="仿宋" w:hAnsi="仿宋" w:eastAsia="仿宋" w:cs="仿宋_GB2312"/>
          <w:kern w:val="0"/>
          <w:sz w:val="32"/>
          <w:szCs w:val="32"/>
        </w:rPr>
        <w:t>31</w:t>
      </w:r>
      <w:r>
        <w:rPr>
          <w:rFonts w:hint="eastAsia" w:ascii="仿宋" w:hAnsi="仿宋" w:eastAsia="仿宋" w:cs="仿宋_GB2312"/>
          <w:kern w:val="0"/>
          <w:sz w:val="32"/>
          <w:szCs w:val="32"/>
        </w:rPr>
        <w:t>日，本部门共有车辆</w:t>
      </w:r>
      <w:r>
        <w:rPr>
          <w:rFonts w:ascii="仿宋" w:hAnsi="仿宋" w:eastAsia="仿宋" w:cs="仿宋_GB2312"/>
          <w:sz w:val="32"/>
          <w:szCs w:val="32"/>
        </w:rPr>
        <w:t>0</w:t>
      </w:r>
      <w:r>
        <w:rPr>
          <w:rFonts w:hint="eastAsia" w:ascii="仿宋" w:hAnsi="仿宋" w:eastAsia="仿宋" w:cs="仿宋_GB2312"/>
          <w:kern w:val="0"/>
          <w:sz w:val="32"/>
          <w:szCs w:val="32"/>
        </w:rPr>
        <w:t>辆，其中：部级领导干部用车</w:t>
      </w:r>
      <w:r>
        <w:rPr>
          <w:rFonts w:ascii="仿宋" w:hAnsi="仿宋" w:eastAsia="仿宋" w:cs="仿宋_GB2312"/>
          <w:sz w:val="32"/>
          <w:szCs w:val="32"/>
        </w:rPr>
        <w:t>0</w:t>
      </w:r>
      <w:r>
        <w:rPr>
          <w:rFonts w:hint="eastAsia" w:ascii="仿宋" w:hAnsi="仿宋" w:eastAsia="仿宋" w:cs="仿宋_GB2312"/>
          <w:kern w:val="0"/>
          <w:sz w:val="32"/>
          <w:szCs w:val="32"/>
        </w:rPr>
        <w:t>辆、一般公务用车</w:t>
      </w:r>
      <w:r>
        <w:rPr>
          <w:rFonts w:ascii="仿宋" w:hAnsi="仿宋" w:eastAsia="仿宋" w:cs="仿宋_GB2312"/>
          <w:sz w:val="32"/>
          <w:szCs w:val="32"/>
        </w:rPr>
        <w:t>0</w:t>
      </w:r>
      <w:r>
        <w:rPr>
          <w:rFonts w:hint="eastAsia" w:ascii="仿宋" w:hAnsi="仿宋" w:eastAsia="仿宋" w:cs="仿宋_GB2312"/>
          <w:kern w:val="0"/>
          <w:sz w:val="32"/>
          <w:szCs w:val="32"/>
        </w:rPr>
        <w:t>辆、一般执法执勤用车</w:t>
      </w:r>
      <w:r>
        <w:rPr>
          <w:rFonts w:ascii="仿宋" w:hAnsi="仿宋" w:eastAsia="仿宋" w:cs="仿宋_GB2312"/>
          <w:sz w:val="32"/>
          <w:szCs w:val="32"/>
        </w:rPr>
        <w:t>0</w:t>
      </w:r>
      <w:r>
        <w:rPr>
          <w:rFonts w:hint="eastAsia" w:ascii="仿宋" w:hAnsi="仿宋" w:eastAsia="仿宋" w:cs="仿宋_GB2312"/>
          <w:kern w:val="0"/>
          <w:sz w:val="32"/>
          <w:szCs w:val="32"/>
        </w:rPr>
        <w:t>辆、特种专业技术用车</w:t>
      </w:r>
      <w:r>
        <w:rPr>
          <w:rFonts w:ascii="仿宋" w:hAnsi="仿宋" w:eastAsia="仿宋" w:cs="仿宋_GB2312"/>
          <w:sz w:val="32"/>
          <w:szCs w:val="32"/>
        </w:rPr>
        <w:t>0</w:t>
      </w:r>
      <w:r>
        <w:rPr>
          <w:rFonts w:hint="eastAsia" w:ascii="仿宋" w:hAnsi="仿宋" w:eastAsia="仿宋" w:cs="仿宋_GB2312"/>
          <w:kern w:val="0"/>
          <w:sz w:val="32"/>
          <w:szCs w:val="32"/>
        </w:rPr>
        <w:t>辆、其他用车</w:t>
      </w:r>
      <w:r>
        <w:rPr>
          <w:rFonts w:ascii="仿宋" w:hAnsi="仿宋" w:eastAsia="仿宋" w:cs="仿宋_GB2312"/>
          <w:sz w:val="32"/>
          <w:szCs w:val="32"/>
        </w:rPr>
        <w:t>0</w:t>
      </w:r>
      <w:r>
        <w:rPr>
          <w:rFonts w:hint="eastAsia" w:ascii="仿宋" w:hAnsi="仿宋" w:eastAsia="仿宋" w:cs="仿宋_GB2312"/>
          <w:kern w:val="0"/>
          <w:sz w:val="32"/>
          <w:szCs w:val="32"/>
        </w:rPr>
        <w:t>辆；单价</w:t>
      </w:r>
      <w:r>
        <w:rPr>
          <w:rFonts w:ascii="仿宋" w:hAnsi="仿宋" w:eastAsia="仿宋" w:cs="仿宋_GB2312"/>
          <w:kern w:val="0"/>
          <w:sz w:val="32"/>
          <w:szCs w:val="32"/>
        </w:rPr>
        <w:t>50</w:t>
      </w:r>
      <w:r>
        <w:rPr>
          <w:rFonts w:hint="eastAsia" w:ascii="仿宋" w:hAnsi="仿宋" w:eastAsia="仿宋" w:cs="仿宋_GB2312"/>
          <w:kern w:val="0"/>
          <w:sz w:val="32"/>
          <w:szCs w:val="32"/>
        </w:rPr>
        <w:t>万元（含）以上通用设备</w:t>
      </w:r>
      <w:r>
        <w:rPr>
          <w:rFonts w:ascii="仿宋" w:hAnsi="仿宋" w:eastAsia="仿宋" w:cs="仿宋_GB2312"/>
          <w:sz w:val="32"/>
          <w:szCs w:val="32"/>
        </w:rPr>
        <w:t>0</w:t>
      </w:r>
      <w:r>
        <w:rPr>
          <w:rFonts w:hint="eastAsia" w:ascii="仿宋" w:hAnsi="仿宋" w:eastAsia="仿宋" w:cs="仿宋_GB2312"/>
          <w:kern w:val="0"/>
          <w:sz w:val="32"/>
          <w:szCs w:val="32"/>
        </w:rPr>
        <w:t>台（套），单价</w:t>
      </w:r>
      <w:r>
        <w:rPr>
          <w:rFonts w:ascii="仿宋" w:hAnsi="仿宋" w:eastAsia="仿宋" w:cs="仿宋_GB2312"/>
          <w:kern w:val="0"/>
          <w:sz w:val="32"/>
          <w:szCs w:val="32"/>
        </w:rPr>
        <w:t>100</w:t>
      </w:r>
      <w:r>
        <w:rPr>
          <w:rFonts w:hint="eastAsia" w:ascii="仿宋" w:hAnsi="仿宋" w:eastAsia="仿宋" w:cs="仿宋_GB2312"/>
          <w:kern w:val="0"/>
          <w:sz w:val="32"/>
          <w:szCs w:val="32"/>
        </w:rPr>
        <w:t>万元（含）以上专用设备</w:t>
      </w:r>
      <w:r>
        <w:rPr>
          <w:rFonts w:ascii="仿宋" w:hAnsi="仿宋" w:eastAsia="仿宋" w:cs="仿宋_GB2312"/>
          <w:sz w:val="32"/>
          <w:szCs w:val="32"/>
        </w:rPr>
        <w:t>0</w:t>
      </w:r>
      <w:r>
        <w:rPr>
          <w:rFonts w:hint="eastAsia" w:ascii="仿宋" w:hAnsi="仿宋" w:eastAsia="仿宋" w:cs="仿宋_GB2312"/>
          <w:kern w:val="0"/>
          <w:sz w:val="32"/>
          <w:szCs w:val="32"/>
        </w:rPr>
        <w:t>台（套）。</w:t>
      </w:r>
    </w:p>
    <w:p>
      <w:pPr>
        <w:autoSpaceDE w:val="0"/>
        <w:autoSpaceDN w:val="0"/>
        <w:adjustRightInd w:val="0"/>
        <w:spacing w:line="600" w:lineRule="exact"/>
        <w:ind w:firstLine="640" w:firstLineChars="200"/>
        <w:jc w:val="left"/>
        <w:rPr>
          <w:rFonts w:ascii="仿宋" w:hAnsi="仿宋" w:eastAsia="仿宋" w:cs="仿宋_GB2312"/>
          <w:sz w:val="32"/>
          <w:szCs w:val="32"/>
        </w:rPr>
      </w:pPr>
    </w:p>
    <w:p>
      <w:pPr>
        <w:autoSpaceDE w:val="0"/>
        <w:autoSpaceDN w:val="0"/>
        <w:adjustRightInd w:val="0"/>
        <w:spacing w:line="600" w:lineRule="exact"/>
        <w:ind w:firstLine="640" w:firstLineChars="200"/>
        <w:jc w:val="left"/>
        <w:rPr>
          <w:rFonts w:ascii="仿宋" w:hAnsi="仿宋" w:eastAsia="仿宋" w:cs="仿宋_GB2312"/>
          <w:sz w:val="32"/>
          <w:szCs w:val="32"/>
        </w:rPr>
      </w:pPr>
    </w:p>
    <w:p>
      <w:pPr>
        <w:autoSpaceDE w:val="0"/>
        <w:autoSpaceDN w:val="0"/>
        <w:adjustRightInd w:val="0"/>
        <w:spacing w:line="600" w:lineRule="exact"/>
        <w:ind w:firstLine="640" w:firstLineChars="200"/>
        <w:jc w:val="left"/>
        <w:rPr>
          <w:rFonts w:ascii="仿宋" w:hAnsi="仿宋" w:eastAsia="仿宋" w:cs="仿宋_GB2312"/>
          <w:sz w:val="32"/>
          <w:szCs w:val="32"/>
        </w:rPr>
      </w:pPr>
    </w:p>
    <w:p>
      <w:pPr>
        <w:autoSpaceDE w:val="0"/>
        <w:autoSpaceDN w:val="0"/>
        <w:adjustRightInd w:val="0"/>
        <w:spacing w:line="600" w:lineRule="exact"/>
        <w:ind w:firstLine="720" w:firstLineChars="200"/>
        <w:jc w:val="center"/>
        <w:rPr>
          <w:rFonts w:ascii="仿宋" w:hAnsi="仿宋" w:eastAsia="仿宋"/>
          <w:b/>
          <w:sz w:val="32"/>
          <w:szCs w:val="32"/>
        </w:rPr>
      </w:pPr>
      <w:r>
        <w:rPr>
          <w:rFonts w:hint="eastAsia" w:ascii="黑体" w:hAnsi="黑体" w:eastAsia="黑体"/>
          <w:sz w:val="36"/>
          <w:szCs w:val="36"/>
        </w:rPr>
        <w:t>第三部分</w:t>
      </w:r>
      <w:r>
        <w:rPr>
          <w:rFonts w:ascii="黑体" w:hAnsi="黑体" w:eastAsia="黑体"/>
          <w:sz w:val="36"/>
          <w:szCs w:val="36"/>
        </w:rPr>
        <w:t xml:space="preserve"> </w:t>
      </w:r>
      <w:r>
        <w:rPr>
          <w:rFonts w:hint="eastAsia" w:ascii="黑体" w:hAnsi="黑体" w:eastAsia="黑体"/>
          <w:sz w:val="36"/>
          <w:szCs w:val="36"/>
        </w:rPr>
        <w:t>名词解释</w:t>
      </w:r>
    </w:p>
    <w:p>
      <w:pPr>
        <w:autoSpaceDE w:val="0"/>
        <w:autoSpaceDN w:val="0"/>
        <w:adjustRightInd w:val="0"/>
        <w:spacing w:line="600" w:lineRule="exact"/>
        <w:ind w:firstLine="640" w:firstLineChars="200"/>
        <w:jc w:val="left"/>
        <w:rPr>
          <w:rFonts w:ascii="仿宋" w:hAnsi="仿宋" w:eastAsia="仿宋" w:cs="仿宋_GB2312"/>
          <w:kern w:val="0"/>
          <w:sz w:val="32"/>
          <w:szCs w:val="32"/>
        </w:rPr>
      </w:pP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一、财政拨款收入：指省级财政当年拨付的资金。</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四、其他收入：指除上述“财政拨款收入”、“事业收入”、“经营收入”等以外的收入。主要是按规定动用的售房收入、存款利息收入等。</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8"/>
        <w:spacing w:line="600" w:lineRule="exact"/>
        <w:ind w:firstLine="640"/>
        <w:rPr>
          <w:rFonts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w:t>
      </w:r>
      <w:r>
        <w:rPr>
          <w:rFonts w:ascii="仿宋" w:hAnsi="仿宋" w:eastAsia="仿宋" w:cs="仿宋"/>
          <w:sz w:val="32"/>
          <w:szCs w:val="32"/>
        </w:rPr>
        <w:t xml:space="preserve"> </w:t>
      </w:r>
    </w:p>
    <w:p>
      <w:pPr>
        <w:pStyle w:val="8"/>
        <w:spacing w:line="600" w:lineRule="exact"/>
        <w:ind w:firstLine="640"/>
        <w:rPr>
          <w:rFonts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八、年末结转和结余：指本年度或以前年度预算安排、因客观条件发生变化无法按原计划实施，需延迟到以后年度按有关规定继续使用的资金。</w:t>
      </w:r>
      <w:r>
        <w:rPr>
          <w:rFonts w:ascii="仿宋" w:hAnsi="仿宋" w:eastAsia="仿宋" w:cs="仿宋"/>
          <w:sz w:val="32"/>
          <w:szCs w:val="32"/>
        </w:rPr>
        <w:t xml:space="preserve"> </w:t>
      </w:r>
    </w:p>
    <w:p>
      <w:pPr>
        <w:pStyle w:val="8"/>
        <w:spacing w:line="600" w:lineRule="exact"/>
        <w:ind w:firstLine="640"/>
        <w:rPr>
          <w:rFonts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w:t>
      </w:r>
      <w:r>
        <w:rPr>
          <w:rFonts w:ascii="仿宋" w:hAnsi="仿宋" w:eastAsia="仿宋" w:cs="仿宋"/>
          <w:sz w:val="32"/>
          <w:szCs w:val="32"/>
        </w:rPr>
        <w:t xml:space="preserve"> </w:t>
      </w:r>
    </w:p>
    <w:p>
      <w:pPr>
        <w:pStyle w:val="8"/>
        <w:spacing w:line="600" w:lineRule="exact"/>
        <w:ind w:firstLine="640"/>
        <w:rPr>
          <w:rFonts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w:t>
      </w:r>
      <w:r>
        <w:rPr>
          <w:rFonts w:ascii="仿宋" w:hAnsi="仿宋" w:eastAsia="仿宋" w:cs="仿宋"/>
          <w:sz w:val="32"/>
          <w:szCs w:val="32"/>
        </w:rPr>
        <w:t xml:space="preserve"> </w:t>
      </w:r>
    </w:p>
    <w:p>
      <w:pPr>
        <w:pStyle w:val="8"/>
        <w:spacing w:line="600" w:lineRule="exact"/>
        <w:ind w:firstLine="640"/>
        <w:rPr>
          <w:rFonts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r>
        <w:rPr>
          <w:rFonts w:ascii="仿宋" w:hAnsi="仿宋" w:eastAsia="仿宋" w:cs="仿宋"/>
          <w:sz w:val="32"/>
          <w:szCs w:val="32"/>
        </w:rPr>
        <w:t xml:space="preserve"> </w:t>
      </w:r>
    </w:p>
    <w:p>
      <w:pPr>
        <w:pStyle w:val="8"/>
        <w:spacing w:line="600" w:lineRule="exact"/>
        <w:ind w:firstLine="640"/>
        <w:rPr>
          <w:rFonts w:ascii="仿宋" w:hAnsi="仿宋" w:eastAsia="仿宋" w:cs="仿宋"/>
          <w:sz w:val="32"/>
          <w:szCs w:val="32"/>
        </w:rPr>
      </w:pPr>
      <w:r>
        <w:rPr>
          <w:rFonts w:hint="eastAsia" w:ascii="仿宋" w:hAnsi="仿宋" w:eastAsia="仿宋" w:cs="仿宋"/>
          <w:sz w:val="32"/>
          <w:szCs w:val="32"/>
        </w:rPr>
        <w:t>十二、“三公”经费：纳入省级财政预决算管理的“三公”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szCs w:val="32"/>
        </w:rPr>
        <w:t xml:space="preserve"> </w:t>
      </w:r>
    </w:p>
    <w:p>
      <w:pPr>
        <w:ind w:firstLine="640" w:firstLineChars="200"/>
        <w:jc w:val="left"/>
        <w:rPr>
          <w:rFonts w:ascii="仿宋" w:hAnsi="仿宋" w:eastAsia="仿宋"/>
          <w:sz w:val="32"/>
          <w:szCs w:val="32"/>
        </w:rPr>
      </w:pPr>
      <w:r>
        <w:rPr>
          <w:rFonts w:hint="eastAsia" w:ascii="仿宋" w:hAnsi="仿宋" w:eastAsia="仿宋" w:cs="仿宋"/>
          <w:color w:val="000000"/>
          <w:kern w:val="0"/>
          <w:sz w:val="32"/>
          <w:szCs w:val="32"/>
        </w:rPr>
        <w:t>十三、机关运行经费：为保障行政单位（含参照公务员法管理的事业单位）运行用于购买货物和服务的各项资金，包括办公及印刷费、邮电费、差旅费、会议</w:t>
      </w:r>
      <w:r>
        <w:rPr>
          <w:rFonts w:hint="eastAsia" w:ascii="仿宋" w:hAnsi="仿宋" w:eastAsia="仿宋"/>
          <w:sz w:val="32"/>
          <w:szCs w:val="32"/>
        </w:rPr>
        <w:t>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第四部分</w:t>
      </w:r>
      <w:r>
        <w:rPr>
          <w:rFonts w:ascii="黑体" w:hAnsi="黑体" w:eastAsia="黑体"/>
          <w:sz w:val="36"/>
          <w:szCs w:val="36"/>
        </w:rPr>
        <w:t xml:space="preserve"> 2018</w:t>
      </w:r>
      <w:r>
        <w:rPr>
          <w:rFonts w:hint="eastAsia" w:ascii="黑体" w:hAnsi="黑体" w:eastAsia="黑体"/>
          <w:sz w:val="36"/>
          <w:szCs w:val="36"/>
        </w:rPr>
        <w:t>年度部门决算表</w:t>
      </w:r>
    </w:p>
    <w:p>
      <w:pPr>
        <w:ind w:firstLine="1078" w:firstLineChars="245"/>
        <w:jc w:val="left"/>
        <w:rPr>
          <w:rFonts w:ascii="仿宋" w:hAnsi="仿宋" w:eastAsia="仿宋"/>
          <w:sz w:val="44"/>
          <w:szCs w:val="44"/>
        </w:rPr>
      </w:pPr>
      <w:r>
        <w:rPr>
          <w:rFonts w:hint="eastAsia" w:ascii="仿宋" w:hAnsi="仿宋" w:eastAsia="仿宋"/>
          <w:sz w:val="44"/>
          <w:szCs w:val="44"/>
        </w:rPr>
        <w:t>一、收入支出决算总表</w:t>
      </w:r>
      <w:r>
        <w:rPr>
          <w:rFonts w:ascii="仿宋" w:hAnsi="仿宋" w:eastAsia="仿宋"/>
          <w:sz w:val="44"/>
          <w:szCs w:val="44"/>
        </w:rPr>
        <w:t xml:space="preserve"> </w:t>
      </w:r>
    </w:p>
    <w:tbl>
      <w:tblPr>
        <w:tblStyle w:val="6"/>
        <w:tblW w:w="8804" w:type="dxa"/>
        <w:tblInd w:w="95" w:type="dxa"/>
        <w:tblLayout w:type="autofit"/>
        <w:tblCellMar>
          <w:top w:w="0" w:type="dxa"/>
          <w:left w:w="108" w:type="dxa"/>
          <w:bottom w:w="0" w:type="dxa"/>
          <w:right w:w="108" w:type="dxa"/>
        </w:tblCellMar>
      </w:tblPr>
      <w:tblGrid>
        <w:gridCol w:w="3226"/>
        <w:gridCol w:w="1016"/>
        <w:gridCol w:w="3226"/>
        <w:gridCol w:w="1526"/>
      </w:tblGrid>
      <w:tr>
        <w:tblPrEx>
          <w:tblCellMar>
            <w:top w:w="0" w:type="dxa"/>
            <w:left w:w="108" w:type="dxa"/>
            <w:bottom w:w="0" w:type="dxa"/>
            <w:right w:w="108" w:type="dxa"/>
          </w:tblCellMar>
        </w:tblPrEx>
        <w:trPr>
          <w:trHeight w:val="540" w:hRule="atLeast"/>
        </w:trPr>
        <w:tc>
          <w:tcPr>
            <w:tcW w:w="8804" w:type="dxa"/>
            <w:gridSpan w:val="4"/>
            <w:tcBorders>
              <w:top w:val="nil"/>
              <w:left w:val="nil"/>
              <w:bottom w:val="nil"/>
              <w:right w:val="nil"/>
            </w:tcBorders>
            <w:noWrap/>
            <w:vAlign w:val="bottom"/>
          </w:tcPr>
          <w:p>
            <w:pPr>
              <w:widowControl/>
              <w:spacing w:line="240" w:lineRule="auto"/>
              <w:rPr>
                <w:rFonts w:ascii="宋体" w:cs="Arial"/>
                <w:color w:val="000000"/>
                <w:kern w:val="0"/>
                <w:sz w:val="32"/>
                <w:szCs w:val="32"/>
              </w:rPr>
            </w:pPr>
          </w:p>
        </w:tc>
      </w:tr>
      <w:tr>
        <w:tblPrEx>
          <w:tblCellMar>
            <w:top w:w="0" w:type="dxa"/>
            <w:left w:w="108" w:type="dxa"/>
            <w:bottom w:w="0" w:type="dxa"/>
            <w:right w:w="108" w:type="dxa"/>
          </w:tblCellMar>
        </w:tblPrEx>
        <w:trPr>
          <w:trHeight w:val="255" w:hRule="atLeast"/>
        </w:trPr>
        <w:tc>
          <w:tcPr>
            <w:tcW w:w="322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82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3226" w:type="dxa"/>
            <w:tcBorders>
              <w:top w:val="nil"/>
              <w:left w:val="nil"/>
              <w:bottom w:val="nil"/>
              <w:right w:val="nil"/>
            </w:tcBorders>
            <w:noWrap/>
            <w:vAlign w:val="bottom"/>
          </w:tcPr>
          <w:p>
            <w:pPr>
              <w:widowControl/>
              <w:spacing w:line="240" w:lineRule="auto"/>
              <w:rPr>
                <w:rFonts w:ascii="宋体" w:cs="Arial"/>
                <w:color w:val="000000"/>
                <w:kern w:val="0"/>
                <w:sz w:val="20"/>
                <w:szCs w:val="20"/>
              </w:rPr>
            </w:pPr>
            <w:r>
              <w:rPr>
                <w:rFonts w:ascii="宋体" w:hAnsi="宋体" w:cs="Arial"/>
                <w:color w:val="000000"/>
                <w:kern w:val="0"/>
                <w:sz w:val="20"/>
                <w:szCs w:val="20"/>
              </w:rPr>
              <w:t>2018</w:t>
            </w:r>
            <w:r>
              <w:rPr>
                <w:rFonts w:hint="eastAsia" w:ascii="宋体" w:hAnsi="宋体" w:cs="Arial"/>
                <w:color w:val="000000"/>
                <w:kern w:val="0"/>
                <w:sz w:val="20"/>
                <w:szCs w:val="20"/>
              </w:rPr>
              <w:t>年度</w:t>
            </w:r>
          </w:p>
        </w:tc>
        <w:tc>
          <w:tcPr>
            <w:tcW w:w="152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4052" w:type="dxa"/>
            <w:gridSpan w:val="2"/>
            <w:tcBorders>
              <w:top w:val="nil"/>
              <w:left w:val="nil"/>
              <w:bottom w:val="nil"/>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编制单位：中国共产党上杭县委员会党校</w:t>
            </w:r>
          </w:p>
        </w:tc>
        <w:tc>
          <w:tcPr>
            <w:tcW w:w="322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526" w:type="dxa"/>
            <w:tcBorders>
              <w:top w:val="nil"/>
              <w:left w:val="nil"/>
              <w:bottom w:val="nil"/>
              <w:right w:val="nil"/>
            </w:tcBorders>
            <w:noWrap/>
            <w:vAlign w:val="bottom"/>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金额单位：</w:t>
            </w:r>
            <w:r>
              <w:rPr>
                <w:rFonts w:ascii="宋体" w:hAnsi="宋体" w:cs="Arial"/>
                <w:color w:val="000000"/>
                <w:kern w:val="0"/>
                <w:sz w:val="20"/>
                <w:szCs w:val="20"/>
              </w:rPr>
              <w:t xml:space="preserve"> </w:t>
            </w: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trHeight w:val="769" w:hRule="atLeast"/>
        </w:trPr>
        <w:tc>
          <w:tcPr>
            <w:tcW w:w="3226"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单位名称</w:t>
            </w:r>
          </w:p>
        </w:tc>
        <w:tc>
          <w:tcPr>
            <w:tcW w:w="826" w:type="dxa"/>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中国共产党上杭县委员会党校</w:t>
            </w:r>
          </w:p>
        </w:tc>
        <w:tc>
          <w:tcPr>
            <w:tcW w:w="3226" w:type="dxa"/>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　</w:t>
            </w:r>
          </w:p>
        </w:tc>
        <w:tc>
          <w:tcPr>
            <w:tcW w:w="1526" w:type="dxa"/>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收入</w:t>
            </w:r>
          </w:p>
        </w:tc>
        <w:tc>
          <w:tcPr>
            <w:tcW w:w="826"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支出</w:t>
            </w:r>
          </w:p>
        </w:tc>
        <w:tc>
          <w:tcPr>
            <w:tcW w:w="1526"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项目</w:t>
            </w:r>
          </w:p>
        </w:tc>
        <w:tc>
          <w:tcPr>
            <w:tcW w:w="826"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决算数</w:t>
            </w:r>
          </w:p>
        </w:tc>
        <w:tc>
          <w:tcPr>
            <w:tcW w:w="3226"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项目</w:t>
            </w:r>
            <w:r>
              <w:rPr>
                <w:rFonts w:ascii="宋体" w:hAnsi="宋体" w:cs="Arial"/>
                <w:color w:val="000000"/>
                <w:kern w:val="0"/>
                <w:sz w:val="20"/>
                <w:szCs w:val="20"/>
              </w:rPr>
              <w:t>(</w:t>
            </w:r>
            <w:r>
              <w:rPr>
                <w:rFonts w:hint="eastAsia" w:ascii="宋体" w:hAnsi="宋体" w:cs="Arial"/>
                <w:color w:val="000000"/>
                <w:kern w:val="0"/>
                <w:sz w:val="20"/>
                <w:szCs w:val="20"/>
              </w:rPr>
              <w:t>按支出功能分类</w:t>
            </w:r>
            <w:r>
              <w:rPr>
                <w:rFonts w:ascii="宋体" w:hAnsi="宋体" w:cs="Arial"/>
                <w:color w:val="000000"/>
                <w:kern w:val="0"/>
                <w:sz w:val="20"/>
                <w:szCs w:val="20"/>
              </w:rPr>
              <w:t>)</w:t>
            </w:r>
          </w:p>
        </w:tc>
        <w:tc>
          <w:tcPr>
            <w:tcW w:w="1526"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决算数</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一、财政拨款</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573.62</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一、一般公共服务支出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其中：政府性基金</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二、外交支出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二、上级补助收入</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三、国防支出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三、事业收入</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960.24</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四、公共安全支出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四、经营收入</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五、教育支出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1,471.73</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五、附属单位缴款</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六、科学技术支出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六、其他收入</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0.32</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七、文化体育与传媒支出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八、社会保障和就业支出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九、医疗卫生与计划生育支出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十、节能环保支出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十一、城乡社区支出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十二、农林水支出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十三、交通运输支出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十四、资源勘探信息等支出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十五、商业服务业等支出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十六、金融支出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十七、援助其他地区支出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十八、国土海洋气象等支出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十九、住房保障支出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二十、粮油物资储备支出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二十一、其他支出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二十二、债务还本支出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二十三、债务付息支出</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本年收入合计</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1,534.18</w:t>
            </w:r>
          </w:p>
        </w:tc>
        <w:tc>
          <w:tcPr>
            <w:tcW w:w="3226" w:type="dxa"/>
            <w:tcBorders>
              <w:top w:val="nil"/>
              <w:left w:val="nil"/>
              <w:bottom w:val="single" w:color="000000" w:sz="4" w:space="0"/>
              <w:right w:val="single" w:color="000000" w:sz="4" w:space="0"/>
            </w:tcBorders>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本年支出合计</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1,471.73</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用事业基金弥补收支差额</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结余分配</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年初结转和结余</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166.73</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交纳所得税</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基本支出结转</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166.73</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提取职工福利基金</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其中：财政拨款结转</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4.23</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转入事业基金</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项目支出结转和结余</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其中：财政拨款结转和结余</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年末结转和结余</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229.18</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经营结余</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基本支出结转</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229.18</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其中：财政拨款结转</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0.56</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项目支出结转和结余</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其中：财政拨款结转和结余</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322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经营结余</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322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合计</w:t>
            </w:r>
          </w:p>
        </w:tc>
        <w:tc>
          <w:tcPr>
            <w:tcW w:w="8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1,700.91</w:t>
            </w:r>
          </w:p>
        </w:tc>
        <w:tc>
          <w:tcPr>
            <w:tcW w:w="3226" w:type="dxa"/>
            <w:tcBorders>
              <w:top w:val="nil"/>
              <w:left w:val="nil"/>
              <w:bottom w:val="single" w:color="000000" w:sz="4" w:space="0"/>
              <w:right w:val="single" w:color="000000" w:sz="4" w:space="0"/>
            </w:tcBorders>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合计</w:t>
            </w:r>
          </w:p>
        </w:tc>
        <w:tc>
          <w:tcPr>
            <w:tcW w:w="152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1,700.91</w:t>
            </w:r>
          </w:p>
        </w:tc>
      </w:tr>
    </w:tbl>
    <w:p>
      <w:pPr>
        <w:pStyle w:val="9"/>
        <w:ind w:left="720" w:leftChars="343" w:firstLine="480" w:firstLineChars="150"/>
        <w:jc w:val="left"/>
        <w:rPr>
          <w:rFonts w:ascii="仿宋" w:hAnsi="仿宋" w:eastAsia="仿宋"/>
          <w:sz w:val="32"/>
          <w:szCs w:val="32"/>
        </w:rPr>
      </w:pPr>
    </w:p>
    <w:p>
      <w:pPr>
        <w:ind w:firstLine="1073" w:firstLineChars="243"/>
        <w:jc w:val="left"/>
        <w:rPr>
          <w:rFonts w:ascii="仿宋" w:hAnsi="仿宋" w:eastAsia="仿宋"/>
          <w:b/>
          <w:sz w:val="44"/>
          <w:szCs w:val="44"/>
        </w:rPr>
      </w:pPr>
      <w:r>
        <w:rPr>
          <w:rFonts w:hint="eastAsia" w:ascii="仿宋" w:hAnsi="仿宋" w:eastAsia="仿宋"/>
          <w:b/>
          <w:sz w:val="44"/>
          <w:szCs w:val="44"/>
        </w:rPr>
        <w:t>二、收入决算表</w:t>
      </w:r>
      <w:r>
        <w:rPr>
          <w:rFonts w:ascii="仿宋" w:hAnsi="仿宋" w:eastAsia="仿宋"/>
          <w:b/>
          <w:sz w:val="44"/>
          <w:szCs w:val="44"/>
        </w:rPr>
        <w:t xml:space="preserve"> </w:t>
      </w:r>
    </w:p>
    <w:tbl>
      <w:tblPr>
        <w:tblStyle w:val="6"/>
        <w:tblW w:w="10540" w:type="dxa"/>
        <w:tblInd w:w="95" w:type="dxa"/>
        <w:tblLayout w:type="autofit"/>
        <w:tblCellMar>
          <w:top w:w="0" w:type="dxa"/>
          <w:left w:w="108" w:type="dxa"/>
          <w:bottom w:w="0" w:type="dxa"/>
          <w:right w:w="108" w:type="dxa"/>
        </w:tblCellMar>
      </w:tblPr>
      <w:tblGrid>
        <w:gridCol w:w="1060"/>
        <w:gridCol w:w="1160"/>
        <w:gridCol w:w="1480"/>
        <w:gridCol w:w="1240"/>
        <w:gridCol w:w="1280"/>
        <w:gridCol w:w="1180"/>
        <w:gridCol w:w="1200"/>
        <w:gridCol w:w="1000"/>
        <w:gridCol w:w="940"/>
      </w:tblGrid>
      <w:tr>
        <w:tblPrEx>
          <w:tblCellMar>
            <w:top w:w="0" w:type="dxa"/>
            <w:left w:w="108" w:type="dxa"/>
            <w:bottom w:w="0" w:type="dxa"/>
            <w:right w:w="108" w:type="dxa"/>
          </w:tblCellMar>
        </w:tblPrEx>
        <w:trPr>
          <w:trHeight w:val="540" w:hRule="atLeast"/>
        </w:trPr>
        <w:tc>
          <w:tcPr>
            <w:tcW w:w="10540" w:type="dxa"/>
            <w:gridSpan w:val="9"/>
            <w:tcBorders>
              <w:top w:val="nil"/>
              <w:left w:val="nil"/>
              <w:bottom w:val="nil"/>
              <w:right w:val="nil"/>
            </w:tcBorders>
            <w:noWrap/>
            <w:vAlign w:val="bottom"/>
          </w:tcPr>
          <w:p>
            <w:pPr>
              <w:widowControl/>
              <w:spacing w:line="240" w:lineRule="auto"/>
              <w:ind w:firstLine="2400" w:firstLineChars="750"/>
              <w:rPr>
                <w:rFonts w:ascii="宋体" w:cs="Arial"/>
                <w:color w:val="000000"/>
                <w:kern w:val="0"/>
                <w:sz w:val="32"/>
                <w:szCs w:val="32"/>
              </w:rPr>
            </w:pPr>
          </w:p>
        </w:tc>
      </w:tr>
      <w:tr>
        <w:tblPrEx>
          <w:tblCellMar>
            <w:top w:w="0" w:type="dxa"/>
            <w:left w:w="108" w:type="dxa"/>
            <w:bottom w:w="0" w:type="dxa"/>
            <w:right w:w="108" w:type="dxa"/>
          </w:tblCellMar>
        </w:tblPrEx>
        <w:trPr>
          <w:trHeight w:val="255" w:hRule="atLeast"/>
        </w:trPr>
        <w:tc>
          <w:tcPr>
            <w:tcW w:w="10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1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4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40" w:type="dxa"/>
            <w:tcBorders>
              <w:top w:val="nil"/>
              <w:left w:val="nil"/>
              <w:bottom w:val="nil"/>
              <w:right w:val="nil"/>
            </w:tcBorders>
            <w:noWrap/>
            <w:vAlign w:val="bottom"/>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2018</w:t>
            </w:r>
            <w:r>
              <w:rPr>
                <w:rFonts w:hint="eastAsia" w:ascii="宋体" w:hAnsi="宋体" w:cs="Arial"/>
                <w:color w:val="000000"/>
                <w:kern w:val="0"/>
                <w:sz w:val="20"/>
                <w:szCs w:val="20"/>
              </w:rPr>
              <w:t>年度</w:t>
            </w:r>
          </w:p>
        </w:tc>
        <w:tc>
          <w:tcPr>
            <w:tcW w:w="1280" w:type="dxa"/>
            <w:tcBorders>
              <w:top w:val="nil"/>
              <w:left w:val="nil"/>
              <w:bottom w:val="nil"/>
              <w:right w:val="nil"/>
            </w:tcBorders>
            <w:noWrap/>
            <w:vAlign w:val="bottom"/>
          </w:tcPr>
          <w:p>
            <w:pPr>
              <w:widowControl/>
              <w:spacing w:line="240" w:lineRule="auto"/>
              <w:jc w:val="left"/>
              <w:rPr>
                <w:rFonts w:ascii="宋体" w:cs="Arial"/>
                <w:color w:val="000000"/>
                <w:kern w:val="0"/>
                <w:sz w:val="20"/>
                <w:szCs w:val="20"/>
              </w:rPr>
            </w:pPr>
          </w:p>
        </w:tc>
        <w:tc>
          <w:tcPr>
            <w:tcW w:w="11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4940" w:type="dxa"/>
            <w:gridSpan w:val="4"/>
            <w:tcBorders>
              <w:top w:val="nil"/>
              <w:left w:val="nil"/>
              <w:bottom w:val="single" w:color="000000" w:sz="4" w:space="0"/>
              <w:right w:val="nil"/>
            </w:tcBorders>
            <w:noWrap/>
            <w:vAlign w:val="bottom"/>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编制单位：中国共产党上杭县委员会党校</w:t>
            </w:r>
          </w:p>
        </w:tc>
        <w:tc>
          <w:tcPr>
            <w:tcW w:w="12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1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940" w:type="dxa"/>
            <w:gridSpan w:val="2"/>
            <w:tcBorders>
              <w:top w:val="nil"/>
              <w:left w:val="nil"/>
              <w:bottom w:val="single" w:color="000000" w:sz="4" w:space="0"/>
              <w:right w:val="nil"/>
            </w:tcBorders>
            <w:noWrap/>
            <w:vAlign w:val="bottom"/>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492" w:hRule="atLeast"/>
        </w:trPr>
        <w:tc>
          <w:tcPr>
            <w:tcW w:w="2220"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项目</w:t>
            </w:r>
          </w:p>
        </w:tc>
        <w:tc>
          <w:tcPr>
            <w:tcW w:w="148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本年收入合计</w:t>
            </w:r>
          </w:p>
        </w:tc>
        <w:tc>
          <w:tcPr>
            <w:tcW w:w="124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财政拨款收入</w:t>
            </w:r>
          </w:p>
        </w:tc>
        <w:tc>
          <w:tcPr>
            <w:tcW w:w="12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上级补助收入</w:t>
            </w:r>
          </w:p>
        </w:tc>
        <w:tc>
          <w:tcPr>
            <w:tcW w:w="11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事业收入</w:t>
            </w:r>
          </w:p>
        </w:tc>
        <w:tc>
          <w:tcPr>
            <w:tcW w:w="12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经营收入</w:t>
            </w:r>
          </w:p>
        </w:tc>
        <w:tc>
          <w:tcPr>
            <w:tcW w:w="100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附属单位上缴收入</w:t>
            </w:r>
          </w:p>
        </w:tc>
        <w:tc>
          <w:tcPr>
            <w:tcW w:w="94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其他收入</w:t>
            </w:r>
          </w:p>
        </w:tc>
      </w:tr>
      <w:tr>
        <w:tblPrEx>
          <w:tblCellMar>
            <w:top w:w="0" w:type="dxa"/>
            <w:left w:w="108" w:type="dxa"/>
            <w:bottom w:w="0" w:type="dxa"/>
            <w:right w:w="108" w:type="dxa"/>
          </w:tblCellMar>
        </w:tblPrEx>
        <w:trPr>
          <w:trHeight w:val="585" w:hRule="atLeast"/>
        </w:trPr>
        <w:tc>
          <w:tcPr>
            <w:tcW w:w="1060"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支出功能分类科目编码</w:t>
            </w:r>
          </w:p>
        </w:tc>
        <w:tc>
          <w:tcPr>
            <w:tcW w:w="1160" w:type="dxa"/>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48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24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280" w:type="dxa"/>
            <w:vMerge w:val="continue"/>
            <w:tcBorders>
              <w:top w:val="single" w:color="000000" w:sz="4" w:space="0"/>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180" w:type="dxa"/>
            <w:vMerge w:val="continue"/>
            <w:tcBorders>
              <w:top w:val="single" w:color="000000" w:sz="4" w:space="0"/>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200" w:type="dxa"/>
            <w:vMerge w:val="continue"/>
            <w:tcBorders>
              <w:top w:val="single" w:color="000000" w:sz="4" w:space="0"/>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00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94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合计行</w:t>
            </w:r>
          </w:p>
        </w:tc>
        <w:tc>
          <w:tcPr>
            <w:tcW w:w="1160"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cs="Arial"/>
                <w:color w:val="000000"/>
                <w:kern w:val="0"/>
                <w:sz w:val="20"/>
                <w:szCs w:val="20"/>
              </w:rPr>
              <w:t>0</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1,534.18</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573.62</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960.24</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0.32</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2050802</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干部教育</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1,534.18</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573.62</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960.24</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0.32</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6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4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2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10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1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4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4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1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bl>
    <w:p>
      <w:pPr>
        <w:pStyle w:val="9"/>
        <w:ind w:left="720" w:leftChars="343" w:firstLine="480" w:firstLineChars="150"/>
        <w:jc w:val="left"/>
        <w:rPr>
          <w:rFonts w:ascii="仿宋" w:hAnsi="仿宋" w:eastAsia="仿宋"/>
          <w:sz w:val="32"/>
          <w:szCs w:val="32"/>
        </w:rPr>
      </w:pPr>
    </w:p>
    <w:p>
      <w:pPr>
        <w:ind w:firstLine="1073" w:firstLineChars="243"/>
        <w:jc w:val="left"/>
        <w:rPr>
          <w:rFonts w:ascii="仿宋" w:hAnsi="仿宋" w:eastAsia="仿宋"/>
          <w:b/>
          <w:sz w:val="44"/>
          <w:szCs w:val="44"/>
        </w:rPr>
      </w:pPr>
      <w:r>
        <w:rPr>
          <w:rFonts w:hint="eastAsia" w:ascii="仿宋" w:hAnsi="仿宋" w:eastAsia="仿宋"/>
          <w:b/>
          <w:sz w:val="44"/>
          <w:szCs w:val="44"/>
        </w:rPr>
        <w:t>三、支出决算表</w:t>
      </w:r>
    </w:p>
    <w:tbl>
      <w:tblPr>
        <w:tblStyle w:val="6"/>
        <w:tblW w:w="8860" w:type="dxa"/>
        <w:tblInd w:w="95" w:type="dxa"/>
        <w:tblLayout w:type="autofit"/>
        <w:tblCellMar>
          <w:top w:w="0" w:type="dxa"/>
          <w:left w:w="108" w:type="dxa"/>
          <w:bottom w:w="0" w:type="dxa"/>
          <w:right w:w="108" w:type="dxa"/>
        </w:tblCellMar>
      </w:tblPr>
      <w:tblGrid>
        <w:gridCol w:w="1300"/>
        <w:gridCol w:w="1220"/>
        <w:gridCol w:w="1180"/>
        <w:gridCol w:w="1300"/>
        <w:gridCol w:w="980"/>
        <w:gridCol w:w="1040"/>
        <w:gridCol w:w="880"/>
        <w:gridCol w:w="960"/>
      </w:tblGrid>
      <w:tr>
        <w:tblPrEx>
          <w:tblCellMar>
            <w:top w:w="0" w:type="dxa"/>
            <w:left w:w="108" w:type="dxa"/>
            <w:bottom w:w="0" w:type="dxa"/>
            <w:right w:w="108" w:type="dxa"/>
          </w:tblCellMar>
        </w:tblPrEx>
        <w:trPr>
          <w:trHeight w:val="540" w:hRule="atLeast"/>
        </w:trPr>
        <w:tc>
          <w:tcPr>
            <w:tcW w:w="8860" w:type="dxa"/>
            <w:gridSpan w:val="8"/>
            <w:tcBorders>
              <w:top w:val="nil"/>
              <w:left w:val="nil"/>
              <w:bottom w:val="nil"/>
              <w:right w:val="nil"/>
            </w:tcBorders>
            <w:noWrap/>
            <w:vAlign w:val="bottom"/>
          </w:tcPr>
          <w:p>
            <w:pPr>
              <w:widowControl/>
              <w:spacing w:line="240" w:lineRule="auto"/>
              <w:rPr>
                <w:rFonts w:ascii="宋体" w:cs="Arial"/>
                <w:color w:val="000000"/>
                <w:kern w:val="0"/>
                <w:sz w:val="32"/>
                <w:szCs w:val="32"/>
              </w:rPr>
            </w:pPr>
          </w:p>
        </w:tc>
      </w:tr>
      <w:tr>
        <w:tblPrEx>
          <w:tblCellMar>
            <w:top w:w="0" w:type="dxa"/>
            <w:left w:w="108" w:type="dxa"/>
            <w:bottom w:w="0" w:type="dxa"/>
            <w:right w:w="108" w:type="dxa"/>
          </w:tblCellMar>
        </w:tblPrEx>
        <w:trPr>
          <w:trHeight w:val="480" w:hRule="atLeast"/>
        </w:trPr>
        <w:tc>
          <w:tcPr>
            <w:tcW w:w="13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2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4500" w:type="dxa"/>
            <w:gridSpan w:val="4"/>
            <w:tcBorders>
              <w:top w:val="nil"/>
              <w:left w:val="nil"/>
              <w:bottom w:val="nil"/>
              <w:right w:val="nil"/>
            </w:tcBorders>
            <w:noWrap/>
            <w:vAlign w:val="bottom"/>
          </w:tcPr>
          <w:p>
            <w:pPr>
              <w:widowControl/>
              <w:spacing w:line="240" w:lineRule="auto"/>
              <w:jc w:val="center"/>
              <w:rPr>
                <w:rFonts w:ascii="宋体" w:cs="Arial"/>
                <w:color w:val="000000"/>
                <w:kern w:val="0"/>
                <w:sz w:val="20"/>
                <w:szCs w:val="20"/>
              </w:rPr>
            </w:pPr>
            <w:r>
              <w:rPr>
                <w:rFonts w:ascii="宋体" w:hAnsi="宋体" w:cs="Arial"/>
                <w:color w:val="000000"/>
                <w:kern w:val="0"/>
                <w:sz w:val="20"/>
                <w:szCs w:val="20"/>
              </w:rPr>
              <w:t>2018</w:t>
            </w:r>
            <w:r>
              <w:rPr>
                <w:rFonts w:hint="eastAsia" w:ascii="宋体" w:hAnsi="宋体" w:cs="Arial"/>
                <w:color w:val="000000"/>
                <w:kern w:val="0"/>
                <w:sz w:val="20"/>
                <w:szCs w:val="20"/>
              </w:rPr>
              <w:t>年度</w:t>
            </w:r>
          </w:p>
        </w:tc>
        <w:tc>
          <w:tcPr>
            <w:tcW w:w="8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9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360" w:hRule="atLeast"/>
        </w:trPr>
        <w:tc>
          <w:tcPr>
            <w:tcW w:w="5000" w:type="dxa"/>
            <w:gridSpan w:val="4"/>
            <w:tcBorders>
              <w:top w:val="nil"/>
              <w:left w:val="nil"/>
              <w:bottom w:val="single" w:color="000000" w:sz="4" w:space="0"/>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编制单位：中国共产党上杭县委员会党校</w:t>
            </w:r>
          </w:p>
        </w:tc>
        <w:tc>
          <w:tcPr>
            <w:tcW w:w="9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04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840" w:type="dxa"/>
            <w:gridSpan w:val="2"/>
            <w:tcBorders>
              <w:top w:val="nil"/>
              <w:left w:val="nil"/>
              <w:bottom w:val="single" w:color="000000" w:sz="4" w:space="0"/>
              <w:right w:val="nil"/>
            </w:tcBorders>
            <w:noWrap/>
            <w:vAlign w:val="bottom"/>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金额单位：</w:t>
            </w:r>
            <w:r>
              <w:rPr>
                <w:rFonts w:ascii="宋体" w:hAnsi="宋体" w:cs="Arial"/>
                <w:color w:val="000000"/>
                <w:kern w:val="0"/>
                <w:sz w:val="20"/>
                <w:szCs w:val="20"/>
              </w:rPr>
              <w:t xml:space="preserve"> </w:t>
            </w: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trHeight w:val="492"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项目</w:t>
            </w:r>
          </w:p>
        </w:tc>
        <w:tc>
          <w:tcPr>
            <w:tcW w:w="118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本年支出合计</w:t>
            </w:r>
          </w:p>
        </w:tc>
        <w:tc>
          <w:tcPr>
            <w:tcW w:w="130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基本支出</w:t>
            </w:r>
          </w:p>
        </w:tc>
        <w:tc>
          <w:tcPr>
            <w:tcW w:w="9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项目支出</w:t>
            </w:r>
          </w:p>
        </w:tc>
        <w:tc>
          <w:tcPr>
            <w:tcW w:w="104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上缴上级支出</w:t>
            </w:r>
          </w:p>
        </w:tc>
        <w:tc>
          <w:tcPr>
            <w:tcW w:w="88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经营支出</w:t>
            </w:r>
          </w:p>
        </w:tc>
        <w:tc>
          <w:tcPr>
            <w:tcW w:w="96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对附属单位补助支出</w:t>
            </w:r>
          </w:p>
        </w:tc>
      </w:tr>
      <w:tr>
        <w:tblPrEx>
          <w:tblCellMar>
            <w:top w:w="0" w:type="dxa"/>
            <w:left w:w="108" w:type="dxa"/>
            <w:bottom w:w="0" w:type="dxa"/>
            <w:right w:w="108" w:type="dxa"/>
          </w:tblCellMar>
        </w:tblPrEx>
        <w:trPr>
          <w:trHeight w:val="537" w:hRule="atLeast"/>
        </w:trPr>
        <w:tc>
          <w:tcPr>
            <w:tcW w:w="1300"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支出功能分类科目编码</w:t>
            </w:r>
          </w:p>
        </w:tc>
        <w:tc>
          <w:tcPr>
            <w:tcW w:w="1220" w:type="dxa"/>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18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30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980" w:type="dxa"/>
            <w:vMerge w:val="continue"/>
            <w:tcBorders>
              <w:top w:val="single" w:color="000000" w:sz="4" w:space="0"/>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040" w:type="dxa"/>
            <w:vMerge w:val="continue"/>
            <w:tcBorders>
              <w:top w:val="single" w:color="000000" w:sz="4" w:space="0"/>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88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96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r>
      <w:tr>
        <w:tblPrEx>
          <w:tblCellMar>
            <w:top w:w="0" w:type="dxa"/>
            <w:left w:w="108" w:type="dxa"/>
            <w:bottom w:w="0" w:type="dxa"/>
            <w:right w:w="108" w:type="dxa"/>
          </w:tblCellMar>
        </w:tblPrEx>
        <w:trPr>
          <w:trHeight w:val="495" w:hRule="atLeast"/>
        </w:trPr>
        <w:tc>
          <w:tcPr>
            <w:tcW w:w="1300"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合计行</w:t>
            </w:r>
          </w:p>
        </w:tc>
        <w:tc>
          <w:tcPr>
            <w:tcW w:w="1220"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cs="Arial"/>
                <w:color w:val="000000"/>
                <w:kern w:val="0"/>
                <w:sz w:val="20"/>
                <w:szCs w:val="20"/>
              </w:rPr>
              <w:t>0</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1,471.73</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1,471.73</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540"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2050802</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干部教育</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1,471.73</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1,471.73</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3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13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2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1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3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9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04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9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bl>
    <w:p>
      <w:pPr>
        <w:pStyle w:val="9"/>
        <w:ind w:left="720" w:leftChars="343" w:firstLine="480" w:firstLineChars="150"/>
        <w:jc w:val="left"/>
        <w:rPr>
          <w:rFonts w:ascii="仿宋" w:hAnsi="仿宋" w:eastAsia="仿宋"/>
          <w:sz w:val="32"/>
          <w:szCs w:val="32"/>
        </w:rPr>
      </w:pPr>
    </w:p>
    <w:p>
      <w:pPr>
        <w:pStyle w:val="9"/>
        <w:ind w:left="720" w:leftChars="343" w:firstLine="480" w:firstLineChars="150"/>
        <w:jc w:val="left"/>
        <w:rPr>
          <w:rFonts w:ascii="仿宋" w:hAnsi="仿宋" w:eastAsia="仿宋"/>
          <w:sz w:val="32"/>
          <w:szCs w:val="32"/>
        </w:rPr>
      </w:pPr>
    </w:p>
    <w:p>
      <w:pPr>
        <w:ind w:firstLine="857" w:firstLineChars="194"/>
        <w:jc w:val="left"/>
        <w:rPr>
          <w:rFonts w:ascii="仿宋" w:hAnsi="仿宋" w:eastAsia="仿宋"/>
          <w:b/>
          <w:sz w:val="44"/>
          <w:szCs w:val="44"/>
        </w:rPr>
      </w:pPr>
      <w:r>
        <w:rPr>
          <w:rFonts w:hint="eastAsia" w:ascii="仿宋" w:hAnsi="仿宋" w:eastAsia="仿宋"/>
          <w:b/>
          <w:sz w:val="44"/>
          <w:szCs w:val="44"/>
        </w:rPr>
        <w:t>四、财政拨款收入支出决算总表</w:t>
      </w:r>
    </w:p>
    <w:tbl>
      <w:tblPr>
        <w:tblStyle w:val="6"/>
        <w:tblW w:w="9020" w:type="dxa"/>
        <w:tblInd w:w="95" w:type="dxa"/>
        <w:tblLayout w:type="autofit"/>
        <w:tblCellMar>
          <w:top w:w="0" w:type="dxa"/>
          <w:left w:w="108" w:type="dxa"/>
          <w:bottom w:w="0" w:type="dxa"/>
          <w:right w:w="108" w:type="dxa"/>
        </w:tblCellMar>
      </w:tblPr>
      <w:tblGrid>
        <w:gridCol w:w="1746"/>
        <w:gridCol w:w="1225"/>
        <w:gridCol w:w="2628"/>
        <w:gridCol w:w="827"/>
        <w:gridCol w:w="1343"/>
        <w:gridCol w:w="1251"/>
      </w:tblGrid>
      <w:tr>
        <w:tblPrEx>
          <w:tblCellMar>
            <w:top w:w="0" w:type="dxa"/>
            <w:left w:w="108" w:type="dxa"/>
            <w:bottom w:w="0" w:type="dxa"/>
            <w:right w:w="108" w:type="dxa"/>
          </w:tblCellMar>
        </w:tblPrEx>
        <w:trPr>
          <w:trHeight w:val="375" w:hRule="atLeast"/>
        </w:trPr>
        <w:tc>
          <w:tcPr>
            <w:tcW w:w="174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4680" w:type="dxa"/>
            <w:gridSpan w:val="3"/>
            <w:tcBorders>
              <w:top w:val="nil"/>
              <w:left w:val="nil"/>
              <w:bottom w:val="nil"/>
              <w:right w:val="nil"/>
            </w:tcBorders>
            <w:noWrap/>
            <w:vAlign w:val="bottom"/>
          </w:tcPr>
          <w:p>
            <w:pPr>
              <w:widowControl/>
              <w:spacing w:line="240" w:lineRule="auto"/>
              <w:jc w:val="center"/>
              <w:rPr>
                <w:rFonts w:ascii="宋体" w:cs="Arial"/>
                <w:color w:val="000000"/>
                <w:kern w:val="0"/>
                <w:sz w:val="20"/>
                <w:szCs w:val="20"/>
              </w:rPr>
            </w:pPr>
            <w:r>
              <w:rPr>
                <w:rFonts w:ascii="宋体" w:hAnsi="宋体" w:cs="Arial"/>
                <w:color w:val="000000"/>
                <w:kern w:val="0"/>
                <w:sz w:val="20"/>
                <w:szCs w:val="20"/>
              </w:rPr>
              <w:t>2018</w:t>
            </w:r>
            <w:r>
              <w:rPr>
                <w:rFonts w:hint="eastAsia" w:ascii="宋体" w:hAnsi="宋体" w:cs="Arial"/>
                <w:color w:val="000000"/>
                <w:kern w:val="0"/>
                <w:sz w:val="20"/>
                <w:szCs w:val="20"/>
              </w:rPr>
              <w:t>年度</w:t>
            </w:r>
          </w:p>
        </w:tc>
        <w:tc>
          <w:tcPr>
            <w:tcW w:w="1343"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51"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95" w:hRule="atLeast"/>
        </w:trPr>
        <w:tc>
          <w:tcPr>
            <w:tcW w:w="5599" w:type="dxa"/>
            <w:gridSpan w:val="3"/>
            <w:tcBorders>
              <w:top w:val="nil"/>
              <w:left w:val="nil"/>
              <w:bottom w:val="single" w:color="000000" w:sz="4" w:space="0"/>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编制单位：中国共产党上杭县委员会党校</w:t>
            </w:r>
          </w:p>
        </w:tc>
        <w:tc>
          <w:tcPr>
            <w:tcW w:w="827"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594" w:type="dxa"/>
            <w:gridSpan w:val="2"/>
            <w:tcBorders>
              <w:top w:val="nil"/>
              <w:left w:val="nil"/>
              <w:bottom w:val="single" w:color="000000" w:sz="4" w:space="0"/>
              <w:right w:val="nil"/>
            </w:tcBorders>
            <w:noWrap/>
            <w:vAlign w:val="bottom"/>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金额单位：</w:t>
            </w:r>
            <w:r>
              <w:rPr>
                <w:rFonts w:ascii="宋体" w:hAnsi="宋体" w:cs="Arial"/>
                <w:color w:val="000000"/>
                <w:kern w:val="0"/>
                <w:sz w:val="20"/>
                <w:szCs w:val="20"/>
              </w:rPr>
              <w:t xml:space="preserve"> </w:t>
            </w: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trHeight w:val="769" w:hRule="atLeast"/>
        </w:trPr>
        <w:tc>
          <w:tcPr>
            <w:tcW w:w="1746"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单位名称</w:t>
            </w:r>
          </w:p>
        </w:tc>
        <w:tc>
          <w:tcPr>
            <w:tcW w:w="7274" w:type="dxa"/>
            <w:gridSpan w:val="5"/>
            <w:tcBorders>
              <w:top w:val="single" w:color="000000" w:sz="4" w:space="0"/>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中国共产党上杭县委员会党校</w:t>
            </w:r>
          </w:p>
        </w:tc>
      </w:tr>
      <w:tr>
        <w:tblPrEx>
          <w:tblCellMar>
            <w:top w:w="0" w:type="dxa"/>
            <w:left w:w="108" w:type="dxa"/>
            <w:bottom w:w="0" w:type="dxa"/>
            <w:right w:w="108" w:type="dxa"/>
          </w:tblCellMar>
        </w:tblPrEx>
        <w:trPr>
          <w:trHeight w:val="308" w:hRule="atLeast"/>
        </w:trPr>
        <w:tc>
          <w:tcPr>
            <w:tcW w:w="2971"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2"/>
              </w:rPr>
            </w:pPr>
            <w:r>
              <w:rPr>
                <w:rFonts w:hint="eastAsia" w:ascii="宋体" w:hAnsi="宋体" w:cs="Arial"/>
                <w:color w:val="000000"/>
                <w:kern w:val="0"/>
                <w:sz w:val="22"/>
              </w:rPr>
              <w:t>收</w:t>
            </w:r>
            <w:r>
              <w:rPr>
                <w:rFonts w:ascii="宋体" w:hAnsi="宋体" w:cs="Arial"/>
                <w:color w:val="000000"/>
                <w:kern w:val="0"/>
                <w:sz w:val="22"/>
              </w:rPr>
              <w:t xml:space="preserve">     </w:t>
            </w:r>
            <w:r>
              <w:rPr>
                <w:rFonts w:hint="eastAsia" w:ascii="宋体" w:hAnsi="宋体" w:cs="Arial"/>
                <w:color w:val="000000"/>
                <w:kern w:val="0"/>
                <w:sz w:val="22"/>
              </w:rPr>
              <w:t>入</w:t>
            </w:r>
          </w:p>
        </w:tc>
        <w:tc>
          <w:tcPr>
            <w:tcW w:w="6049" w:type="dxa"/>
            <w:gridSpan w:val="4"/>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2"/>
              </w:rPr>
            </w:pPr>
            <w:r>
              <w:rPr>
                <w:rFonts w:hint="eastAsia" w:ascii="宋体" w:hAnsi="宋体" w:cs="Arial"/>
                <w:color w:val="000000"/>
                <w:kern w:val="0"/>
                <w:sz w:val="22"/>
              </w:rPr>
              <w:t>支</w:t>
            </w:r>
            <w:r>
              <w:rPr>
                <w:rFonts w:ascii="宋体" w:hAnsi="宋体" w:cs="Arial"/>
                <w:color w:val="000000"/>
                <w:kern w:val="0"/>
                <w:sz w:val="22"/>
              </w:rPr>
              <w:t xml:space="preserve">     </w:t>
            </w:r>
            <w:r>
              <w:rPr>
                <w:rFonts w:hint="eastAsia" w:ascii="宋体" w:hAnsi="宋体" w:cs="Arial"/>
                <w:color w:val="000000"/>
                <w:kern w:val="0"/>
                <w:sz w:val="22"/>
              </w:rPr>
              <w:t>出</w:t>
            </w:r>
          </w:p>
        </w:tc>
      </w:tr>
      <w:tr>
        <w:tblPrEx>
          <w:tblCellMar>
            <w:top w:w="0" w:type="dxa"/>
            <w:left w:w="108" w:type="dxa"/>
            <w:bottom w:w="0" w:type="dxa"/>
            <w:right w:w="108" w:type="dxa"/>
          </w:tblCellMar>
        </w:tblPrEx>
        <w:trPr>
          <w:trHeight w:val="312" w:hRule="atLeast"/>
        </w:trPr>
        <w:tc>
          <w:tcPr>
            <w:tcW w:w="174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2"/>
              </w:rPr>
            </w:pPr>
            <w:r>
              <w:rPr>
                <w:rFonts w:hint="eastAsia" w:ascii="宋体" w:hAnsi="宋体" w:cs="Arial"/>
                <w:color w:val="000000"/>
                <w:kern w:val="0"/>
                <w:sz w:val="22"/>
              </w:rPr>
              <w:t>项</w:t>
            </w:r>
            <w:r>
              <w:rPr>
                <w:rFonts w:ascii="宋体" w:hAnsi="宋体" w:cs="Arial"/>
                <w:color w:val="000000"/>
                <w:kern w:val="0"/>
                <w:sz w:val="22"/>
              </w:rPr>
              <w:t xml:space="preserve">    </w:t>
            </w:r>
            <w:r>
              <w:rPr>
                <w:rFonts w:hint="eastAsia" w:ascii="宋体" w:hAnsi="宋体" w:cs="Arial"/>
                <w:color w:val="000000"/>
                <w:kern w:val="0"/>
                <w:sz w:val="22"/>
              </w:rPr>
              <w:t>目</w:t>
            </w:r>
          </w:p>
        </w:tc>
        <w:tc>
          <w:tcPr>
            <w:tcW w:w="1225" w:type="dxa"/>
            <w:vMerge w:val="restart"/>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2"/>
              </w:rPr>
            </w:pPr>
            <w:r>
              <w:rPr>
                <w:rFonts w:hint="eastAsia" w:ascii="宋体" w:hAnsi="宋体" w:cs="Arial"/>
                <w:color w:val="000000"/>
                <w:kern w:val="0"/>
                <w:sz w:val="22"/>
              </w:rPr>
              <w:t>金额</w:t>
            </w:r>
          </w:p>
        </w:tc>
        <w:tc>
          <w:tcPr>
            <w:tcW w:w="2628" w:type="dxa"/>
            <w:vMerge w:val="restart"/>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2"/>
              </w:rPr>
            </w:pPr>
            <w:r>
              <w:rPr>
                <w:rFonts w:hint="eastAsia" w:ascii="宋体" w:hAnsi="宋体" w:cs="Arial"/>
                <w:color w:val="000000"/>
                <w:kern w:val="0"/>
                <w:sz w:val="22"/>
              </w:rPr>
              <w:t>项目（按功能分类）</w:t>
            </w:r>
          </w:p>
        </w:tc>
        <w:tc>
          <w:tcPr>
            <w:tcW w:w="827" w:type="dxa"/>
            <w:vMerge w:val="restart"/>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2"/>
              </w:rPr>
            </w:pPr>
            <w:r>
              <w:rPr>
                <w:rFonts w:hint="eastAsia" w:ascii="宋体" w:hAnsi="宋体" w:cs="Arial"/>
                <w:color w:val="000000"/>
                <w:kern w:val="0"/>
                <w:sz w:val="22"/>
              </w:rPr>
              <w:t>合计</w:t>
            </w:r>
          </w:p>
        </w:tc>
        <w:tc>
          <w:tcPr>
            <w:tcW w:w="1343"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2"/>
              </w:rPr>
            </w:pPr>
            <w:r>
              <w:rPr>
                <w:rFonts w:hint="eastAsia" w:ascii="宋体" w:hAnsi="宋体" w:cs="Arial"/>
                <w:color w:val="000000"/>
                <w:kern w:val="0"/>
                <w:sz w:val="22"/>
              </w:rPr>
              <w:t>一般公共预算财政拨款</w:t>
            </w:r>
          </w:p>
        </w:tc>
        <w:tc>
          <w:tcPr>
            <w:tcW w:w="1251"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2"/>
              </w:rPr>
            </w:pPr>
            <w:r>
              <w:rPr>
                <w:rFonts w:hint="eastAsia" w:ascii="宋体" w:hAnsi="宋体" w:cs="Arial"/>
                <w:color w:val="000000"/>
                <w:kern w:val="0"/>
                <w:sz w:val="22"/>
              </w:rPr>
              <w:t>政府性基金预算财政拨款</w:t>
            </w:r>
          </w:p>
        </w:tc>
      </w:tr>
      <w:tr>
        <w:tblPrEx>
          <w:tblCellMar>
            <w:top w:w="0" w:type="dxa"/>
            <w:left w:w="108" w:type="dxa"/>
            <w:bottom w:w="0" w:type="dxa"/>
            <w:right w:w="108" w:type="dxa"/>
          </w:tblCellMar>
        </w:tblPrEx>
        <w:trPr>
          <w:trHeight w:val="312" w:hRule="atLeast"/>
        </w:trPr>
        <w:tc>
          <w:tcPr>
            <w:tcW w:w="1746" w:type="dxa"/>
            <w:vMerge w:val="continue"/>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Arial"/>
                <w:color w:val="000000"/>
                <w:kern w:val="0"/>
                <w:sz w:val="22"/>
              </w:rPr>
            </w:pPr>
          </w:p>
        </w:tc>
        <w:tc>
          <w:tcPr>
            <w:tcW w:w="1225"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2"/>
              </w:rPr>
            </w:pPr>
          </w:p>
        </w:tc>
        <w:tc>
          <w:tcPr>
            <w:tcW w:w="2628"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2"/>
              </w:rPr>
            </w:pPr>
          </w:p>
        </w:tc>
        <w:tc>
          <w:tcPr>
            <w:tcW w:w="827"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2"/>
              </w:rPr>
            </w:pPr>
          </w:p>
        </w:tc>
        <w:tc>
          <w:tcPr>
            <w:tcW w:w="1343"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2"/>
              </w:rPr>
            </w:pPr>
          </w:p>
        </w:tc>
        <w:tc>
          <w:tcPr>
            <w:tcW w:w="1251"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2"/>
              </w:rPr>
            </w:pPr>
          </w:p>
        </w:tc>
      </w:tr>
      <w:tr>
        <w:tblPrEx>
          <w:tblCellMar>
            <w:top w:w="0" w:type="dxa"/>
            <w:left w:w="108" w:type="dxa"/>
            <w:bottom w:w="0" w:type="dxa"/>
            <w:right w:w="108" w:type="dxa"/>
          </w:tblCellMar>
        </w:tblPrEx>
        <w:trPr>
          <w:trHeight w:val="570"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一、一般公共预算财政拨款</w:t>
            </w:r>
          </w:p>
        </w:tc>
        <w:tc>
          <w:tcPr>
            <w:tcW w:w="1225" w:type="dxa"/>
            <w:tcBorders>
              <w:top w:val="nil"/>
              <w:left w:val="nil"/>
              <w:bottom w:val="single" w:color="000000" w:sz="4" w:space="0"/>
              <w:right w:val="single" w:color="000000" w:sz="4" w:space="0"/>
            </w:tcBorders>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573.62</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一、一般公共服务支出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525"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二、政府性基金预算财政拨款</w:t>
            </w:r>
          </w:p>
        </w:tc>
        <w:tc>
          <w:tcPr>
            <w:tcW w:w="1225" w:type="dxa"/>
            <w:tcBorders>
              <w:top w:val="nil"/>
              <w:left w:val="nil"/>
              <w:bottom w:val="single" w:color="000000" w:sz="4" w:space="0"/>
              <w:right w:val="single" w:color="000000" w:sz="4" w:space="0"/>
            </w:tcBorders>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二、外交支出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三、国防支出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四、公共安全支出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五、教育支出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577.29</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577.29</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六、科学技术支出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七、文化体育与传媒支出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八、社会保障和就业支出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九、医疗卫生与计划生育支出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十、节能环保支出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十一、城乡社区支出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十二、农林水支出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十三、交通运输支出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十四、资源勘探信息等支出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十五、商业服务业等支出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十六、金融支出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十七、援助其他地区支出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十八、国土海洋气象等支出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十九、住房保障支出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二十、粮油物资储备支出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二十一、其他支出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二十二、债务还本支出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二十三、债务付息支出</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b/>
                <w:bCs/>
                <w:color w:val="000000"/>
                <w:kern w:val="0"/>
                <w:sz w:val="22"/>
              </w:rPr>
            </w:pPr>
            <w:r>
              <w:rPr>
                <w:rFonts w:hint="eastAsia" w:ascii="宋体" w:hAnsi="宋体" w:cs="Arial"/>
                <w:b/>
                <w:bCs/>
                <w:color w:val="000000"/>
                <w:kern w:val="0"/>
                <w:sz w:val="22"/>
              </w:rPr>
              <w:t>本年收入合计</w:t>
            </w:r>
          </w:p>
        </w:tc>
        <w:tc>
          <w:tcPr>
            <w:tcW w:w="1225" w:type="dxa"/>
            <w:tcBorders>
              <w:top w:val="nil"/>
              <w:left w:val="nil"/>
              <w:bottom w:val="single" w:color="000000" w:sz="4" w:space="0"/>
              <w:right w:val="single" w:color="000000" w:sz="4" w:space="0"/>
            </w:tcBorders>
            <w:vAlign w:val="center"/>
          </w:tcPr>
          <w:p>
            <w:pPr>
              <w:widowControl/>
              <w:spacing w:line="240" w:lineRule="auto"/>
              <w:jc w:val="right"/>
              <w:rPr>
                <w:rFonts w:ascii="宋体" w:cs="Arial"/>
                <w:b/>
                <w:bCs/>
                <w:color w:val="000000"/>
                <w:kern w:val="0"/>
                <w:sz w:val="20"/>
                <w:szCs w:val="20"/>
              </w:rPr>
            </w:pPr>
            <w:r>
              <w:rPr>
                <w:rFonts w:ascii="宋体" w:hAnsi="宋体" w:cs="Arial"/>
                <w:b/>
                <w:bCs/>
                <w:color w:val="000000"/>
                <w:kern w:val="0"/>
                <w:sz w:val="20"/>
                <w:szCs w:val="20"/>
              </w:rPr>
              <w:t>573.62</w:t>
            </w:r>
          </w:p>
        </w:tc>
        <w:tc>
          <w:tcPr>
            <w:tcW w:w="2628" w:type="dxa"/>
            <w:tcBorders>
              <w:top w:val="nil"/>
              <w:left w:val="nil"/>
              <w:bottom w:val="single" w:color="000000" w:sz="4" w:space="0"/>
              <w:right w:val="single" w:color="000000" w:sz="4" w:space="0"/>
            </w:tcBorders>
            <w:vAlign w:val="center"/>
          </w:tcPr>
          <w:p>
            <w:pPr>
              <w:widowControl/>
              <w:spacing w:line="240" w:lineRule="auto"/>
              <w:jc w:val="center"/>
              <w:rPr>
                <w:rFonts w:ascii="宋体" w:cs="Arial"/>
                <w:b/>
                <w:bCs/>
                <w:color w:val="000000"/>
                <w:kern w:val="0"/>
                <w:sz w:val="20"/>
                <w:szCs w:val="20"/>
              </w:rPr>
            </w:pPr>
            <w:r>
              <w:rPr>
                <w:rFonts w:hint="eastAsia" w:ascii="宋体" w:hAnsi="宋体" w:cs="Arial"/>
                <w:b/>
                <w:bCs/>
                <w:color w:val="000000"/>
                <w:kern w:val="0"/>
                <w:sz w:val="20"/>
                <w:szCs w:val="20"/>
              </w:rPr>
              <w:t>本年支出合计</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b/>
                <w:bCs/>
                <w:color w:val="000000"/>
                <w:kern w:val="0"/>
                <w:sz w:val="20"/>
                <w:szCs w:val="20"/>
              </w:rPr>
            </w:pPr>
            <w:r>
              <w:rPr>
                <w:rFonts w:ascii="宋体" w:hAnsi="宋体" w:cs="Arial"/>
                <w:b/>
                <w:bCs/>
                <w:color w:val="000000"/>
                <w:kern w:val="0"/>
                <w:sz w:val="20"/>
                <w:szCs w:val="20"/>
              </w:rPr>
              <w:t>577.29</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b/>
                <w:bCs/>
                <w:color w:val="000000"/>
                <w:kern w:val="0"/>
                <w:sz w:val="20"/>
                <w:szCs w:val="20"/>
              </w:rPr>
            </w:pPr>
            <w:r>
              <w:rPr>
                <w:rFonts w:ascii="宋体" w:hAnsi="宋体" w:cs="Arial"/>
                <w:b/>
                <w:bCs/>
                <w:color w:val="000000"/>
                <w:kern w:val="0"/>
                <w:sz w:val="20"/>
                <w:szCs w:val="20"/>
              </w:rPr>
              <w:t>577.29</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b/>
                <w:bCs/>
                <w:color w:val="000000"/>
                <w:kern w:val="0"/>
                <w:sz w:val="20"/>
                <w:szCs w:val="20"/>
              </w:rPr>
            </w:pPr>
            <w:r>
              <w:rPr>
                <w:rFonts w:ascii="宋体" w:cs="Arial"/>
                <w:b/>
                <w:bCs/>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343"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51"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年初财政拨款结转和结余</w:t>
            </w:r>
          </w:p>
        </w:tc>
        <w:tc>
          <w:tcPr>
            <w:tcW w:w="1225" w:type="dxa"/>
            <w:tcBorders>
              <w:top w:val="nil"/>
              <w:left w:val="nil"/>
              <w:bottom w:val="single" w:color="000000" w:sz="4" w:space="0"/>
              <w:right w:val="single" w:color="000000" w:sz="4" w:space="0"/>
            </w:tcBorders>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4.23</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年末财政拨款结转和结余</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0.56</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0.56</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一、一般公共预算财政拨款</w:t>
            </w:r>
          </w:p>
        </w:tc>
        <w:tc>
          <w:tcPr>
            <w:tcW w:w="1225" w:type="dxa"/>
            <w:tcBorders>
              <w:top w:val="nil"/>
              <w:left w:val="nil"/>
              <w:bottom w:val="single" w:color="000000" w:sz="4" w:space="0"/>
              <w:right w:val="single" w:color="000000" w:sz="4" w:space="0"/>
            </w:tcBorders>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4.23</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基本支出结转</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0.56</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0.56</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二、政府性基金预算财政拨款</w:t>
            </w:r>
          </w:p>
        </w:tc>
        <w:tc>
          <w:tcPr>
            <w:tcW w:w="1225" w:type="dxa"/>
            <w:tcBorders>
              <w:top w:val="nil"/>
              <w:left w:val="nil"/>
              <w:bottom w:val="single" w:color="000000" w:sz="4" w:space="0"/>
              <w:right w:val="single" w:color="000000" w:sz="4" w:space="0"/>
            </w:tcBorders>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项目支出结转和结余</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left"/>
              <w:rPr>
                <w:rFonts w:ascii="宋体" w:cs="Arial"/>
                <w:color w:val="000000"/>
                <w:kern w:val="0"/>
                <w:sz w:val="22"/>
              </w:rPr>
            </w:pPr>
            <w:r>
              <w:rPr>
                <w:rFonts w:hint="eastAsia" w:ascii="宋体" w:hAnsi="宋体" w:cs="Arial"/>
                <w:color w:val="000000"/>
                <w:kern w:val="0"/>
                <w:sz w:val="22"/>
              </w:rPr>
              <w:t>　</w:t>
            </w:r>
          </w:p>
        </w:tc>
        <w:tc>
          <w:tcPr>
            <w:tcW w:w="1225"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2628" w:type="dxa"/>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82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343"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51"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746"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b/>
                <w:bCs/>
                <w:color w:val="000000"/>
                <w:kern w:val="0"/>
                <w:sz w:val="22"/>
              </w:rPr>
            </w:pPr>
            <w:r>
              <w:rPr>
                <w:rFonts w:hint="eastAsia" w:ascii="宋体" w:hAnsi="宋体" w:cs="Arial"/>
                <w:b/>
                <w:bCs/>
                <w:color w:val="000000"/>
                <w:kern w:val="0"/>
                <w:sz w:val="22"/>
              </w:rPr>
              <w:t>总计</w:t>
            </w:r>
          </w:p>
        </w:tc>
        <w:tc>
          <w:tcPr>
            <w:tcW w:w="1225" w:type="dxa"/>
            <w:tcBorders>
              <w:top w:val="nil"/>
              <w:left w:val="nil"/>
              <w:bottom w:val="single" w:color="000000" w:sz="4" w:space="0"/>
              <w:right w:val="single" w:color="000000" w:sz="4" w:space="0"/>
            </w:tcBorders>
            <w:vAlign w:val="center"/>
          </w:tcPr>
          <w:p>
            <w:pPr>
              <w:widowControl/>
              <w:spacing w:line="240" w:lineRule="auto"/>
              <w:jc w:val="right"/>
              <w:rPr>
                <w:rFonts w:ascii="宋体" w:cs="Arial"/>
                <w:b/>
                <w:bCs/>
                <w:color w:val="000000"/>
                <w:kern w:val="0"/>
                <w:sz w:val="20"/>
                <w:szCs w:val="20"/>
              </w:rPr>
            </w:pPr>
            <w:r>
              <w:rPr>
                <w:rFonts w:ascii="宋体" w:hAnsi="宋体" w:cs="Arial"/>
                <w:b/>
                <w:bCs/>
                <w:color w:val="000000"/>
                <w:kern w:val="0"/>
                <w:sz w:val="20"/>
                <w:szCs w:val="20"/>
              </w:rPr>
              <w:t>577.85</w:t>
            </w:r>
          </w:p>
        </w:tc>
        <w:tc>
          <w:tcPr>
            <w:tcW w:w="2628" w:type="dxa"/>
            <w:tcBorders>
              <w:top w:val="nil"/>
              <w:left w:val="nil"/>
              <w:bottom w:val="single" w:color="000000" w:sz="4" w:space="0"/>
              <w:right w:val="single" w:color="000000" w:sz="4" w:space="0"/>
            </w:tcBorders>
            <w:vAlign w:val="center"/>
          </w:tcPr>
          <w:p>
            <w:pPr>
              <w:widowControl/>
              <w:spacing w:line="240" w:lineRule="auto"/>
              <w:jc w:val="center"/>
              <w:rPr>
                <w:rFonts w:ascii="宋体" w:cs="Arial"/>
                <w:b/>
                <w:bCs/>
                <w:color w:val="000000"/>
                <w:kern w:val="0"/>
                <w:sz w:val="20"/>
                <w:szCs w:val="20"/>
              </w:rPr>
            </w:pPr>
            <w:r>
              <w:rPr>
                <w:rFonts w:hint="eastAsia" w:ascii="宋体" w:hAnsi="宋体" w:cs="Arial"/>
                <w:b/>
                <w:bCs/>
                <w:color w:val="000000"/>
                <w:kern w:val="0"/>
                <w:sz w:val="20"/>
                <w:szCs w:val="20"/>
              </w:rPr>
              <w:t>总计</w:t>
            </w:r>
          </w:p>
        </w:tc>
        <w:tc>
          <w:tcPr>
            <w:tcW w:w="827"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b/>
                <w:bCs/>
                <w:color w:val="000000"/>
                <w:kern w:val="0"/>
                <w:sz w:val="20"/>
                <w:szCs w:val="20"/>
              </w:rPr>
            </w:pPr>
            <w:r>
              <w:rPr>
                <w:rFonts w:ascii="宋体" w:hAnsi="宋体" w:cs="Arial"/>
                <w:b/>
                <w:bCs/>
                <w:color w:val="000000"/>
                <w:kern w:val="0"/>
                <w:sz w:val="20"/>
                <w:szCs w:val="20"/>
              </w:rPr>
              <w:t>577.85</w:t>
            </w:r>
          </w:p>
        </w:tc>
        <w:tc>
          <w:tcPr>
            <w:tcW w:w="1343"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b/>
                <w:bCs/>
                <w:color w:val="000000"/>
                <w:kern w:val="0"/>
                <w:sz w:val="20"/>
                <w:szCs w:val="20"/>
              </w:rPr>
            </w:pPr>
            <w:r>
              <w:rPr>
                <w:rFonts w:ascii="宋体" w:hAnsi="宋体" w:cs="Arial"/>
                <w:b/>
                <w:bCs/>
                <w:color w:val="000000"/>
                <w:kern w:val="0"/>
                <w:sz w:val="20"/>
                <w:szCs w:val="20"/>
              </w:rPr>
              <w:t>577.85</w:t>
            </w:r>
          </w:p>
        </w:tc>
        <w:tc>
          <w:tcPr>
            <w:tcW w:w="125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b/>
                <w:bCs/>
                <w:color w:val="000000"/>
                <w:kern w:val="0"/>
                <w:sz w:val="20"/>
                <w:szCs w:val="20"/>
              </w:rPr>
            </w:pPr>
            <w:r>
              <w:rPr>
                <w:rFonts w:ascii="宋体" w:cs="Arial"/>
                <w:b/>
                <w:bCs/>
                <w:color w:val="000000"/>
                <w:kern w:val="0"/>
                <w:sz w:val="20"/>
                <w:szCs w:val="20"/>
              </w:rPr>
              <w:t>0.00</w:t>
            </w:r>
          </w:p>
        </w:tc>
      </w:tr>
      <w:tr>
        <w:tblPrEx>
          <w:tblCellMar>
            <w:top w:w="0" w:type="dxa"/>
            <w:left w:w="108" w:type="dxa"/>
            <w:bottom w:w="0" w:type="dxa"/>
            <w:right w:w="108" w:type="dxa"/>
          </w:tblCellMar>
        </w:tblPrEx>
        <w:trPr>
          <w:trHeight w:val="255" w:hRule="atLeast"/>
        </w:trPr>
        <w:tc>
          <w:tcPr>
            <w:tcW w:w="174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25"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628"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827"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343"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51"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bl>
    <w:p>
      <w:pPr>
        <w:pStyle w:val="9"/>
        <w:ind w:left="720" w:leftChars="343" w:firstLine="480" w:firstLineChars="150"/>
        <w:jc w:val="left"/>
        <w:rPr>
          <w:rFonts w:ascii="仿宋" w:hAnsi="仿宋" w:eastAsia="仿宋"/>
          <w:sz w:val="32"/>
          <w:szCs w:val="32"/>
        </w:rPr>
      </w:pPr>
    </w:p>
    <w:p>
      <w:pPr>
        <w:pStyle w:val="9"/>
        <w:ind w:left="720" w:leftChars="343" w:firstLine="663" w:firstLineChars="150"/>
        <w:jc w:val="left"/>
        <w:rPr>
          <w:rFonts w:ascii="仿宋" w:hAnsi="仿宋" w:eastAsia="仿宋"/>
          <w:b/>
          <w:sz w:val="44"/>
          <w:szCs w:val="44"/>
        </w:rPr>
      </w:pPr>
    </w:p>
    <w:p>
      <w:pPr>
        <w:pStyle w:val="9"/>
        <w:ind w:left="720" w:leftChars="343" w:firstLine="663" w:firstLineChars="150"/>
        <w:jc w:val="left"/>
        <w:rPr>
          <w:rFonts w:ascii="仿宋" w:hAnsi="仿宋" w:eastAsia="仿宋"/>
          <w:b/>
          <w:sz w:val="44"/>
          <w:szCs w:val="44"/>
        </w:rPr>
      </w:pPr>
    </w:p>
    <w:p>
      <w:pPr>
        <w:pStyle w:val="9"/>
        <w:ind w:left="720" w:leftChars="343" w:firstLine="663" w:firstLineChars="150"/>
        <w:jc w:val="left"/>
        <w:rPr>
          <w:rFonts w:ascii="仿宋" w:hAnsi="仿宋" w:eastAsia="仿宋"/>
          <w:b/>
          <w:sz w:val="44"/>
          <w:szCs w:val="44"/>
        </w:rPr>
      </w:pPr>
    </w:p>
    <w:p>
      <w:pPr>
        <w:ind w:firstLine="857" w:firstLineChars="194"/>
        <w:jc w:val="left"/>
        <w:rPr>
          <w:rFonts w:ascii="仿宋" w:hAnsi="仿宋" w:eastAsia="仿宋"/>
          <w:b/>
          <w:sz w:val="44"/>
          <w:szCs w:val="44"/>
        </w:rPr>
      </w:pPr>
      <w:r>
        <w:rPr>
          <w:rFonts w:hint="eastAsia" w:ascii="仿宋" w:hAnsi="仿宋" w:eastAsia="仿宋"/>
          <w:b/>
          <w:sz w:val="44"/>
          <w:szCs w:val="44"/>
        </w:rPr>
        <w:t>五、一般公共预算财政拨款支出决算表</w:t>
      </w:r>
    </w:p>
    <w:tbl>
      <w:tblPr>
        <w:tblStyle w:val="6"/>
        <w:tblW w:w="9286" w:type="dxa"/>
        <w:tblInd w:w="95" w:type="dxa"/>
        <w:tblLayout w:type="autofit"/>
        <w:tblCellMar>
          <w:top w:w="0" w:type="dxa"/>
          <w:left w:w="108" w:type="dxa"/>
          <w:bottom w:w="0" w:type="dxa"/>
          <w:right w:w="108" w:type="dxa"/>
        </w:tblCellMar>
      </w:tblPr>
      <w:tblGrid>
        <w:gridCol w:w="2109"/>
        <w:gridCol w:w="1517"/>
        <w:gridCol w:w="1800"/>
        <w:gridCol w:w="1800"/>
        <w:gridCol w:w="2060"/>
      </w:tblGrid>
      <w:tr>
        <w:tblPrEx>
          <w:tblCellMar>
            <w:top w:w="0" w:type="dxa"/>
            <w:left w:w="108" w:type="dxa"/>
            <w:bottom w:w="0" w:type="dxa"/>
            <w:right w:w="108" w:type="dxa"/>
          </w:tblCellMar>
        </w:tblPrEx>
        <w:trPr>
          <w:trHeight w:val="390" w:hRule="atLeast"/>
        </w:trPr>
        <w:tc>
          <w:tcPr>
            <w:tcW w:w="2109"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517"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800" w:type="dxa"/>
            <w:tcBorders>
              <w:top w:val="nil"/>
              <w:left w:val="nil"/>
              <w:bottom w:val="nil"/>
              <w:right w:val="nil"/>
            </w:tcBorders>
            <w:noWrap/>
            <w:vAlign w:val="bottom"/>
          </w:tcPr>
          <w:p>
            <w:pPr>
              <w:widowControl/>
              <w:spacing w:line="240" w:lineRule="auto"/>
              <w:jc w:val="center"/>
              <w:rPr>
                <w:rFonts w:ascii="宋体" w:cs="Arial"/>
                <w:color w:val="000000"/>
                <w:kern w:val="0"/>
                <w:sz w:val="20"/>
                <w:szCs w:val="20"/>
              </w:rPr>
            </w:pPr>
            <w:r>
              <w:rPr>
                <w:rFonts w:ascii="宋体" w:hAnsi="宋体" w:cs="Arial"/>
                <w:color w:val="000000"/>
                <w:kern w:val="0"/>
                <w:sz w:val="20"/>
                <w:szCs w:val="20"/>
              </w:rPr>
              <w:t>2018</w:t>
            </w:r>
            <w:r>
              <w:rPr>
                <w:rFonts w:hint="eastAsia" w:ascii="宋体" w:hAnsi="宋体" w:cs="Arial"/>
                <w:color w:val="000000"/>
                <w:kern w:val="0"/>
                <w:sz w:val="20"/>
                <w:szCs w:val="20"/>
              </w:rPr>
              <w:t>年度</w:t>
            </w:r>
          </w:p>
        </w:tc>
        <w:tc>
          <w:tcPr>
            <w:tcW w:w="18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0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645" w:hRule="atLeast"/>
        </w:trPr>
        <w:tc>
          <w:tcPr>
            <w:tcW w:w="3626" w:type="dxa"/>
            <w:gridSpan w:val="2"/>
            <w:tcBorders>
              <w:top w:val="nil"/>
              <w:left w:val="nil"/>
              <w:bottom w:val="single" w:color="000000" w:sz="4" w:space="0"/>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编制单位：中国共产党上杭县委员会党校</w:t>
            </w:r>
          </w:p>
        </w:tc>
        <w:tc>
          <w:tcPr>
            <w:tcW w:w="18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8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060" w:type="dxa"/>
            <w:tcBorders>
              <w:top w:val="nil"/>
              <w:left w:val="nil"/>
              <w:bottom w:val="nil"/>
              <w:right w:val="nil"/>
            </w:tcBorders>
            <w:noWrap/>
            <w:vAlign w:val="bottom"/>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645" w:hRule="atLeast"/>
        </w:trPr>
        <w:tc>
          <w:tcPr>
            <w:tcW w:w="2109"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1517" w:type="dxa"/>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800" w:type="dxa"/>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本年支出合计</w:t>
            </w:r>
          </w:p>
        </w:tc>
        <w:tc>
          <w:tcPr>
            <w:tcW w:w="1800" w:type="dxa"/>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基本支出</w:t>
            </w:r>
          </w:p>
        </w:tc>
        <w:tc>
          <w:tcPr>
            <w:tcW w:w="2060" w:type="dxa"/>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项目支出</w:t>
            </w:r>
          </w:p>
        </w:tc>
      </w:tr>
      <w:tr>
        <w:tblPrEx>
          <w:tblCellMar>
            <w:top w:w="0" w:type="dxa"/>
            <w:left w:w="108" w:type="dxa"/>
            <w:bottom w:w="0" w:type="dxa"/>
            <w:right w:w="108" w:type="dxa"/>
          </w:tblCellMar>
        </w:tblPrEx>
        <w:trPr>
          <w:trHeight w:val="570" w:hRule="atLeast"/>
        </w:trPr>
        <w:tc>
          <w:tcPr>
            <w:tcW w:w="2109"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合计行</w:t>
            </w:r>
          </w:p>
        </w:tc>
        <w:tc>
          <w:tcPr>
            <w:tcW w:w="15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cs="Arial"/>
                <w:color w:val="000000"/>
                <w:kern w:val="0"/>
                <w:sz w:val="20"/>
                <w:szCs w:val="20"/>
              </w:rPr>
              <w:t>0</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577.29</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577.29</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660"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2050802</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干部教育</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577.29</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577.29</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109"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517"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8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bl>
    <w:p>
      <w:pPr>
        <w:pStyle w:val="9"/>
        <w:ind w:left="720" w:leftChars="343" w:firstLine="480" w:firstLineChars="150"/>
        <w:jc w:val="left"/>
        <w:rPr>
          <w:rFonts w:ascii="仿宋" w:hAnsi="仿宋" w:eastAsia="仿宋"/>
          <w:sz w:val="32"/>
          <w:szCs w:val="32"/>
        </w:rPr>
      </w:pPr>
    </w:p>
    <w:p>
      <w:pPr>
        <w:ind w:firstLine="418" w:firstLineChars="101"/>
        <w:jc w:val="left"/>
        <w:rPr>
          <w:rFonts w:ascii="仿宋" w:hAnsi="仿宋" w:eastAsia="仿宋"/>
          <w:b/>
          <w:spacing w:val="-14"/>
          <w:sz w:val="44"/>
          <w:szCs w:val="44"/>
        </w:rPr>
      </w:pPr>
      <w:r>
        <w:rPr>
          <w:rFonts w:hint="eastAsia" w:ascii="仿宋" w:hAnsi="仿宋" w:eastAsia="仿宋"/>
          <w:b/>
          <w:spacing w:val="-14"/>
          <w:sz w:val="44"/>
          <w:szCs w:val="44"/>
        </w:rPr>
        <w:t>六、一般公共预算财政拨款支出决算明细表</w:t>
      </w:r>
    </w:p>
    <w:tbl>
      <w:tblPr>
        <w:tblStyle w:val="6"/>
        <w:tblW w:w="8600" w:type="dxa"/>
        <w:tblInd w:w="95" w:type="dxa"/>
        <w:tblLayout w:type="autofit"/>
        <w:tblCellMar>
          <w:top w:w="0" w:type="dxa"/>
          <w:left w:w="108" w:type="dxa"/>
          <w:bottom w:w="0" w:type="dxa"/>
          <w:right w:w="108" w:type="dxa"/>
        </w:tblCellMar>
      </w:tblPr>
      <w:tblGrid>
        <w:gridCol w:w="2024"/>
        <w:gridCol w:w="3017"/>
        <w:gridCol w:w="3559"/>
      </w:tblGrid>
      <w:tr>
        <w:tblPrEx>
          <w:tblCellMar>
            <w:top w:w="0" w:type="dxa"/>
            <w:left w:w="108" w:type="dxa"/>
            <w:bottom w:w="0" w:type="dxa"/>
            <w:right w:w="108" w:type="dxa"/>
          </w:tblCellMar>
        </w:tblPrEx>
        <w:trPr>
          <w:trHeight w:val="255" w:hRule="atLeast"/>
        </w:trPr>
        <w:tc>
          <w:tcPr>
            <w:tcW w:w="2024"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3017" w:type="dxa"/>
            <w:tcBorders>
              <w:top w:val="nil"/>
              <w:left w:val="nil"/>
              <w:bottom w:val="nil"/>
              <w:right w:val="nil"/>
            </w:tcBorders>
            <w:noWrap/>
            <w:vAlign w:val="bottom"/>
          </w:tcPr>
          <w:p>
            <w:pPr>
              <w:widowControl/>
              <w:spacing w:line="240" w:lineRule="auto"/>
              <w:jc w:val="center"/>
              <w:rPr>
                <w:rFonts w:ascii="宋体" w:cs="Arial"/>
                <w:color w:val="000000"/>
                <w:kern w:val="0"/>
                <w:sz w:val="20"/>
                <w:szCs w:val="20"/>
              </w:rPr>
            </w:pPr>
          </w:p>
        </w:tc>
        <w:tc>
          <w:tcPr>
            <w:tcW w:w="3559"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5041" w:type="dxa"/>
            <w:gridSpan w:val="2"/>
            <w:tcBorders>
              <w:top w:val="nil"/>
              <w:left w:val="nil"/>
              <w:bottom w:val="single" w:color="000000" w:sz="4" w:space="0"/>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w:t>
            </w:r>
            <w:r>
              <w:rPr>
                <w:rFonts w:ascii="宋体" w:hAnsi="宋体" w:cs="Arial"/>
                <w:color w:val="000000"/>
                <w:kern w:val="0"/>
                <w:sz w:val="20"/>
                <w:szCs w:val="20"/>
              </w:rPr>
              <w:t xml:space="preserve"> </w:t>
            </w:r>
            <w:r>
              <w:rPr>
                <w:rFonts w:hint="eastAsia" w:ascii="宋体" w:hAnsi="宋体" w:cs="Arial"/>
                <w:color w:val="000000"/>
                <w:kern w:val="0"/>
                <w:sz w:val="20"/>
                <w:szCs w:val="20"/>
              </w:rPr>
              <w:t>中国共产党上杭县委员会党校</w:t>
            </w:r>
          </w:p>
        </w:tc>
        <w:tc>
          <w:tcPr>
            <w:tcW w:w="3559" w:type="dxa"/>
            <w:tcBorders>
              <w:top w:val="nil"/>
              <w:left w:val="nil"/>
              <w:bottom w:val="nil"/>
              <w:right w:val="nil"/>
            </w:tcBorders>
            <w:noWrap/>
            <w:vAlign w:val="bottom"/>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金额单位：</w:t>
            </w:r>
            <w:r>
              <w:rPr>
                <w:rFonts w:ascii="宋体" w:hAnsi="宋体" w:cs="Arial"/>
                <w:color w:val="000000"/>
                <w:kern w:val="0"/>
                <w:sz w:val="20"/>
                <w:szCs w:val="20"/>
              </w:rPr>
              <w:t xml:space="preserve"> </w:t>
            </w: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trHeight w:val="769" w:hRule="atLeast"/>
        </w:trPr>
        <w:tc>
          <w:tcPr>
            <w:tcW w:w="5041"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单位名称</w:t>
            </w:r>
          </w:p>
        </w:tc>
        <w:tc>
          <w:tcPr>
            <w:tcW w:w="3559" w:type="dxa"/>
            <w:tcBorders>
              <w:top w:val="single" w:color="000000" w:sz="4" w:space="0"/>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中国共产党上杭县委员会党校</w:t>
            </w:r>
          </w:p>
        </w:tc>
      </w:tr>
      <w:tr>
        <w:tblPrEx>
          <w:tblCellMar>
            <w:top w:w="0" w:type="dxa"/>
            <w:left w:w="108" w:type="dxa"/>
            <w:bottom w:w="0" w:type="dxa"/>
            <w:right w:w="108" w:type="dxa"/>
          </w:tblCellMar>
        </w:tblPrEx>
        <w:trPr>
          <w:trHeight w:val="492" w:hRule="atLeast"/>
        </w:trPr>
        <w:tc>
          <w:tcPr>
            <w:tcW w:w="5041"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w:t>
            </w:r>
            <w:r>
              <w:rPr>
                <w:rFonts w:ascii="宋体" w:hAnsi="宋体" w:cs="Arial"/>
                <w:color w:val="000000"/>
                <w:kern w:val="0"/>
                <w:sz w:val="20"/>
                <w:szCs w:val="20"/>
              </w:rPr>
              <w:t xml:space="preserve">    </w:t>
            </w:r>
            <w:r>
              <w:rPr>
                <w:rFonts w:hint="eastAsia" w:ascii="宋体" w:hAnsi="宋体" w:cs="Arial"/>
                <w:color w:val="000000"/>
                <w:kern w:val="0"/>
                <w:sz w:val="20"/>
                <w:szCs w:val="20"/>
              </w:rPr>
              <w:t>目</w:t>
            </w:r>
          </w:p>
        </w:tc>
        <w:tc>
          <w:tcPr>
            <w:tcW w:w="3559" w:type="dxa"/>
            <w:vMerge w:val="restart"/>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合</w:t>
            </w:r>
            <w:r>
              <w:rPr>
                <w:rFonts w:ascii="宋体" w:hAnsi="宋体" w:cs="Arial"/>
                <w:color w:val="000000"/>
                <w:kern w:val="0"/>
                <w:sz w:val="20"/>
                <w:szCs w:val="20"/>
              </w:rPr>
              <w:t xml:space="preserve">     </w:t>
            </w:r>
            <w:r>
              <w:rPr>
                <w:rFonts w:hint="eastAsia" w:ascii="宋体" w:hAnsi="宋体" w:cs="Arial"/>
                <w:color w:val="000000"/>
                <w:kern w:val="0"/>
                <w:sz w:val="20"/>
                <w:szCs w:val="20"/>
              </w:rPr>
              <w:t>计</w:t>
            </w:r>
            <w:r>
              <w:rPr>
                <w:rFonts w:ascii="宋体" w:hAnsi="宋体" w:cs="Arial"/>
                <w:color w:val="000000"/>
                <w:kern w:val="0"/>
                <w:sz w:val="20"/>
                <w:szCs w:val="20"/>
              </w:rPr>
              <w:t xml:space="preserve"> </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经济分类</w:t>
            </w:r>
            <w:r>
              <w:rPr>
                <w:rFonts w:ascii="宋体" w:cs="Arial"/>
                <w:color w:val="000000"/>
                <w:kern w:val="0"/>
                <w:sz w:val="20"/>
                <w:szCs w:val="20"/>
              </w:rPr>
              <w:br w:type="textWrapping"/>
            </w:r>
            <w:r>
              <w:rPr>
                <w:rFonts w:ascii="宋体" w:cs="Arial"/>
                <w:color w:val="000000"/>
                <w:kern w:val="0"/>
                <w:sz w:val="20"/>
                <w:szCs w:val="20"/>
              </w:rPr>
              <w:br w:type="textWrapping"/>
            </w:r>
            <w:r>
              <w:rPr>
                <w:rFonts w:hint="eastAsia" w:ascii="宋体" w:hAnsi="宋体" w:cs="Arial"/>
                <w:color w:val="000000"/>
                <w:kern w:val="0"/>
                <w:sz w:val="20"/>
                <w:szCs w:val="20"/>
              </w:rPr>
              <w:t>科目编码</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3559"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r>
      <w:tr>
        <w:tblPrEx>
          <w:tblCellMar>
            <w:top w:w="0" w:type="dxa"/>
            <w:left w:w="108" w:type="dxa"/>
            <w:bottom w:w="0" w:type="dxa"/>
            <w:right w:w="108" w:type="dxa"/>
          </w:tblCellMar>
        </w:tblPrEx>
        <w:trPr>
          <w:trHeight w:val="863" w:hRule="atLeast"/>
        </w:trPr>
        <w:tc>
          <w:tcPr>
            <w:tcW w:w="5041"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合</w:t>
            </w:r>
            <w:r>
              <w:rPr>
                <w:rFonts w:ascii="宋体" w:hAnsi="宋体" w:cs="Arial"/>
                <w:color w:val="000000"/>
                <w:kern w:val="0"/>
                <w:sz w:val="20"/>
                <w:szCs w:val="20"/>
              </w:rPr>
              <w:t xml:space="preserve">         </w:t>
            </w:r>
            <w:r>
              <w:rPr>
                <w:rFonts w:hint="eastAsia" w:ascii="宋体" w:hAnsi="宋体" w:cs="Arial"/>
                <w:color w:val="000000"/>
                <w:kern w:val="0"/>
                <w:sz w:val="20"/>
                <w:szCs w:val="20"/>
              </w:rPr>
              <w:t>计</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577.29</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工资福利支出</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356.92</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商品和服务支出</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204.57</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对个人和家庭的补助</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10.18</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311</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资本性支出（基本建设）</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资本性支出</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311</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对企业补助（基本建设）</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312</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对企业补助</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307</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债务利息及费用支出</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863" w:hRule="atLeast"/>
        </w:trPr>
        <w:tc>
          <w:tcPr>
            <w:tcW w:w="2024"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399</w:t>
            </w:r>
          </w:p>
        </w:tc>
        <w:tc>
          <w:tcPr>
            <w:tcW w:w="301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其他支出</w:t>
            </w:r>
          </w:p>
        </w:tc>
        <w:tc>
          <w:tcPr>
            <w:tcW w:w="355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bl>
    <w:p>
      <w:pPr>
        <w:pStyle w:val="9"/>
        <w:ind w:left="720" w:leftChars="343" w:firstLine="480" w:firstLineChars="150"/>
        <w:jc w:val="left"/>
        <w:rPr>
          <w:rFonts w:ascii="仿宋" w:hAnsi="仿宋" w:eastAsia="仿宋"/>
          <w:sz w:val="32"/>
          <w:szCs w:val="32"/>
        </w:rPr>
      </w:pPr>
    </w:p>
    <w:p>
      <w:pPr>
        <w:ind w:firstLine="420" w:firstLineChars="95"/>
        <w:jc w:val="left"/>
        <w:rPr>
          <w:rFonts w:ascii="仿宋" w:hAnsi="仿宋" w:eastAsia="仿宋"/>
          <w:b/>
          <w:sz w:val="44"/>
          <w:szCs w:val="44"/>
        </w:rPr>
      </w:pPr>
      <w:r>
        <w:rPr>
          <w:rFonts w:hint="eastAsia" w:ascii="仿宋" w:hAnsi="仿宋" w:eastAsia="仿宋"/>
          <w:b/>
          <w:sz w:val="44"/>
          <w:szCs w:val="44"/>
        </w:rPr>
        <w:t>七、一般公共预算财政拨款基本支出决算表</w:t>
      </w:r>
      <w:r>
        <w:rPr>
          <w:rFonts w:ascii="仿宋" w:hAnsi="仿宋" w:eastAsia="仿宋"/>
          <w:b/>
          <w:sz w:val="44"/>
          <w:szCs w:val="44"/>
        </w:rPr>
        <w:t xml:space="preserve"> </w:t>
      </w:r>
    </w:p>
    <w:tbl>
      <w:tblPr>
        <w:tblStyle w:val="6"/>
        <w:tblW w:w="8780" w:type="dxa"/>
        <w:tblInd w:w="95" w:type="dxa"/>
        <w:tblLayout w:type="autofit"/>
        <w:tblCellMar>
          <w:top w:w="0" w:type="dxa"/>
          <w:left w:w="108" w:type="dxa"/>
          <w:bottom w:w="0" w:type="dxa"/>
          <w:right w:w="108" w:type="dxa"/>
        </w:tblCellMar>
      </w:tblPr>
      <w:tblGrid>
        <w:gridCol w:w="902"/>
        <w:gridCol w:w="4707"/>
        <w:gridCol w:w="1139"/>
        <w:gridCol w:w="1016"/>
        <w:gridCol w:w="1016"/>
      </w:tblGrid>
      <w:tr>
        <w:tblPrEx>
          <w:tblCellMar>
            <w:top w:w="0" w:type="dxa"/>
            <w:left w:w="108" w:type="dxa"/>
            <w:bottom w:w="0" w:type="dxa"/>
            <w:right w:w="108" w:type="dxa"/>
          </w:tblCellMar>
        </w:tblPrEx>
        <w:trPr>
          <w:trHeight w:val="495" w:hRule="atLeast"/>
        </w:trPr>
        <w:tc>
          <w:tcPr>
            <w:tcW w:w="8780" w:type="dxa"/>
            <w:gridSpan w:val="5"/>
            <w:tcBorders>
              <w:top w:val="nil"/>
              <w:left w:val="nil"/>
              <w:bottom w:val="nil"/>
              <w:right w:val="nil"/>
            </w:tcBorders>
            <w:noWrap/>
            <w:vAlign w:val="bottom"/>
          </w:tcPr>
          <w:p>
            <w:pPr>
              <w:widowControl/>
              <w:spacing w:line="240" w:lineRule="auto"/>
              <w:jc w:val="center"/>
              <w:rPr>
                <w:rFonts w:ascii="宋体" w:cs="Arial"/>
                <w:color w:val="000000"/>
                <w:kern w:val="0"/>
                <w:sz w:val="20"/>
                <w:szCs w:val="20"/>
              </w:rPr>
            </w:pPr>
            <w:r>
              <w:rPr>
                <w:rFonts w:ascii="宋体" w:hAnsi="宋体" w:cs="Arial"/>
                <w:color w:val="000000"/>
                <w:kern w:val="0"/>
                <w:sz w:val="20"/>
                <w:szCs w:val="20"/>
              </w:rPr>
              <w:t>2018</w:t>
            </w:r>
            <w:r>
              <w:rPr>
                <w:rFonts w:hint="eastAsia" w:ascii="宋体" w:hAnsi="宋体" w:cs="Arial"/>
                <w:color w:val="000000"/>
                <w:kern w:val="0"/>
                <w:sz w:val="20"/>
                <w:szCs w:val="20"/>
              </w:rPr>
              <w:t>年度</w:t>
            </w:r>
          </w:p>
        </w:tc>
      </w:tr>
      <w:tr>
        <w:tblPrEx>
          <w:tblCellMar>
            <w:top w:w="0" w:type="dxa"/>
            <w:left w:w="108" w:type="dxa"/>
            <w:bottom w:w="0" w:type="dxa"/>
            <w:right w:w="108" w:type="dxa"/>
          </w:tblCellMar>
        </w:tblPrEx>
        <w:trPr>
          <w:trHeight w:val="540" w:hRule="atLeast"/>
        </w:trPr>
        <w:tc>
          <w:tcPr>
            <w:tcW w:w="6748" w:type="dxa"/>
            <w:gridSpan w:val="3"/>
            <w:tcBorders>
              <w:top w:val="nil"/>
              <w:left w:val="nil"/>
              <w:bottom w:val="single" w:color="000000" w:sz="4" w:space="0"/>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编制单位：中国共产党上杭县委员会党校</w:t>
            </w:r>
          </w:p>
        </w:tc>
        <w:tc>
          <w:tcPr>
            <w:tcW w:w="2032" w:type="dxa"/>
            <w:gridSpan w:val="2"/>
            <w:tcBorders>
              <w:top w:val="nil"/>
              <w:left w:val="nil"/>
              <w:bottom w:val="single" w:color="000000" w:sz="4" w:space="0"/>
              <w:right w:val="nil"/>
            </w:tcBorders>
            <w:noWrap/>
            <w:vAlign w:val="bottom"/>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金额单位：</w:t>
            </w:r>
            <w:r>
              <w:rPr>
                <w:rFonts w:ascii="宋体" w:hAnsi="宋体" w:cs="Arial"/>
                <w:color w:val="000000"/>
                <w:kern w:val="0"/>
                <w:sz w:val="20"/>
                <w:szCs w:val="20"/>
              </w:rPr>
              <w:t xml:space="preserve"> </w:t>
            </w: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trHeight w:val="769" w:hRule="atLeast"/>
        </w:trPr>
        <w:tc>
          <w:tcPr>
            <w:tcW w:w="5609"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单位名称</w:t>
            </w:r>
          </w:p>
        </w:tc>
        <w:tc>
          <w:tcPr>
            <w:tcW w:w="3171" w:type="dxa"/>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中国共产党上杭县委员会党校</w:t>
            </w:r>
          </w:p>
        </w:tc>
      </w:tr>
      <w:tr>
        <w:tblPrEx>
          <w:tblCellMar>
            <w:top w:w="0" w:type="dxa"/>
            <w:left w:w="108" w:type="dxa"/>
            <w:bottom w:w="0" w:type="dxa"/>
            <w:right w:w="108" w:type="dxa"/>
          </w:tblCellMar>
        </w:tblPrEx>
        <w:trPr>
          <w:trHeight w:val="447" w:hRule="atLeast"/>
        </w:trPr>
        <w:tc>
          <w:tcPr>
            <w:tcW w:w="5609"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w:t>
            </w:r>
            <w:r>
              <w:rPr>
                <w:rFonts w:ascii="宋体" w:hAnsi="宋体" w:cs="Arial"/>
                <w:color w:val="000000"/>
                <w:kern w:val="0"/>
                <w:sz w:val="20"/>
                <w:szCs w:val="20"/>
              </w:rPr>
              <w:t xml:space="preserve">    </w:t>
            </w:r>
            <w:r>
              <w:rPr>
                <w:rFonts w:hint="eastAsia" w:ascii="宋体" w:hAnsi="宋体" w:cs="Arial"/>
                <w:color w:val="000000"/>
                <w:kern w:val="0"/>
                <w:sz w:val="20"/>
                <w:szCs w:val="20"/>
              </w:rPr>
              <w:t>目</w:t>
            </w:r>
          </w:p>
        </w:tc>
        <w:tc>
          <w:tcPr>
            <w:tcW w:w="1139" w:type="dxa"/>
            <w:vMerge w:val="restart"/>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合</w:t>
            </w:r>
            <w:r>
              <w:rPr>
                <w:rFonts w:ascii="宋体" w:hAnsi="宋体" w:cs="Arial"/>
                <w:color w:val="000000"/>
                <w:kern w:val="0"/>
                <w:sz w:val="20"/>
                <w:szCs w:val="20"/>
              </w:rPr>
              <w:t xml:space="preserve">     </w:t>
            </w:r>
            <w:r>
              <w:rPr>
                <w:rFonts w:hint="eastAsia" w:ascii="宋体" w:hAnsi="宋体" w:cs="Arial"/>
                <w:color w:val="000000"/>
                <w:kern w:val="0"/>
                <w:sz w:val="20"/>
                <w:szCs w:val="20"/>
              </w:rPr>
              <w:t>计</w:t>
            </w:r>
            <w:r>
              <w:rPr>
                <w:rFonts w:ascii="宋体" w:hAnsi="宋体" w:cs="Arial"/>
                <w:color w:val="000000"/>
                <w:kern w:val="0"/>
                <w:sz w:val="20"/>
                <w:szCs w:val="20"/>
              </w:rPr>
              <w:t xml:space="preserve"> </w:t>
            </w:r>
          </w:p>
        </w:tc>
        <w:tc>
          <w:tcPr>
            <w:tcW w:w="1016" w:type="dxa"/>
            <w:vMerge w:val="restart"/>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人员经费</w:t>
            </w:r>
          </w:p>
        </w:tc>
        <w:tc>
          <w:tcPr>
            <w:tcW w:w="1016" w:type="dxa"/>
            <w:vMerge w:val="restart"/>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公用经费</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经济分类</w:t>
            </w:r>
            <w:r>
              <w:rPr>
                <w:rFonts w:ascii="宋体" w:cs="Arial"/>
                <w:color w:val="000000"/>
                <w:kern w:val="0"/>
                <w:sz w:val="20"/>
                <w:szCs w:val="20"/>
              </w:rPr>
              <w:br w:type="textWrapping"/>
            </w:r>
            <w:r>
              <w:rPr>
                <w:rFonts w:ascii="宋体" w:cs="Arial"/>
                <w:color w:val="000000"/>
                <w:kern w:val="0"/>
                <w:sz w:val="20"/>
                <w:szCs w:val="20"/>
              </w:rPr>
              <w:br w:type="textWrapping"/>
            </w:r>
            <w:r>
              <w:rPr>
                <w:rFonts w:hint="eastAsia" w:ascii="宋体" w:hAnsi="宋体" w:cs="Arial"/>
                <w:color w:val="000000"/>
                <w:kern w:val="0"/>
                <w:sz w:val="20"/>
                <w:szCs w:val="20"/>
              </w:rPr>
              <w:t>科目编码</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139"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01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01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r>
      <w:tr>
        <w:tblPrEx>
          <w:tblCellMar>
            <w:top w:w="0" w:type="dxa"/>
            <w:left w:w="108" w:type="dxa"/>
            <w:bottom w:w="0" w:type="dxa"/>
            <w:right w:w="108" w:type="dxa"/>
          </w:tblCellMar>
        </w:tblPrEx>
        <w:trPr>
          <w:trHeight w:val="709" w:hRule="atLeast"/>
        </w:trPr>
        <w:tc>
          <w:tcPr>
            <w:tcW w:w="5609"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合</w:t>
            </w:r>
            <w:r>
              <w:rPr>
                <w:rFonts w:ascii="宋体" w:hAnsi="宋体" w:cs="Arial"/>
                <w:color w:val="000000"/>
                <w:kern w:val="0"/>
                <w:sz w:val="20"/>
                <w:szCs w:val="20"/>
              </w:rPr>
              <w:t xml:space="preserve">         </w:t>
            </w:r>
            <w:r>
              <w:rPr>
                <w:rFonts w:hint="eastAsia" w:ascii="宋体" w:hAnsi="宋体" w:cs="Arial"/>
                <w:color w:val="000000"/>
                <w:kern w:val="0"/>
                <w:sz w:val="20"/>
                <w:szCs w:val="20"/>
              </w:rPr>
              <w:t>计</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577.29</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工资福利支出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356.92</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356.92</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30101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基本工资</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119.89</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119.89</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30102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津贴补贴</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58.97</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58.97</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30103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奖金</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34.63</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34.63</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30106</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伙食补助费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30107</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绩效工资</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22.99</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22.99</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30108</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机关事业单位基本养老保险缴费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38.31</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38.31</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30109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职业年金缴费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30110</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职工基本医疗保险缴费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15.47</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15.47</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30111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公务员医疗补助缴费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17.83</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17.83</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30112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其他社会保障缴费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1.51</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1.51</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30113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住房公积金</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22.71</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22.71</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30114</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医疗费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30199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其他工资福利支出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24.61</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24.61</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商品和服务支出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204.57</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204.57</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办公费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9.18</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9.18</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印刷费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0.60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0.60</w:t>
            </w:r>
          </w:p>
        </w:tc>
      </w:tr>
      <w:tr>
        <w:tblPrEx>
          <w:tblCellMar>
            <w:top w:w="0" w:type="dxa"/>
            <w:left w:w="108" w:type="dxa"/>
            <w:bottom w:w="0" w:type="dxa"/>
            <w:right w:w="108" w:type="dxa"/>
          </w:tblCellMar>
        </w:tblPrEx>
        <w:trPr>
          <w:trHeight w:val="709"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咨询费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30204</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手续费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30205</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水费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0.37</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0.37</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30206</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电费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2.24</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2.24</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30207</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邮电费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2.45</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2.45</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30208</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取暖费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30209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物业管理费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30211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差旅费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2.98</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2.98</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30212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因公出国</w:t>
            </w:r>
            <w:r>
              <w:rPr>
                <w:rFonts w:ascii="宋体" w:hAnsi="宋体" w:cs="Arial"/>
                <w:color w:val="000000"/>
                <w:kern w:val="0"/>
                <w:sz w:val="20"/>
                <w:szCs w:val="20"/>
              </w:rPr>
              <w:t>(</w:t>
            </w:r>
            <w:r>
              <w:rPr>
                <w:rFonts w:hint="eastAsia" w:ascii="宋体" w:hAnsi="宋体" w:cs="Arial"/>
                <w:color w:val="000000"/>
                <w:kern w:val="0"/>
                <w:sz w:val="20"/>
                <w:szCs w:val="20"/>
              </w:rPr>
              <w:t>境</w:t>
            </w:r>
            <w:r>
              <w:rPr>
                <w:rFonts w:ascii="宋体" w:hAnsi="宋体" w:cs="Arial"/>
                <w:color w:val="000000"/>
                <w:kern w:val="0"/>
                <w:sz w:val="20"/>
                <w:szCs w:val="20"/>
              </w:rPr>
              <w:t>)</w:t>
            </w:r>
            <w:r>
              <w:rPr>
                <w:rFonts w:hint="eastAsia" w:ascii="宋体" w:hAnsi="宋体" w:cs="Arial"/>
                <w:color w:val="000000"/>
                <w:kern w:val="0"/>
                <w:sz w:val="20"/>
                <w:szCs w:val="20"/>
              </w:rPr>
              <w:t>费用</w:t>
            </w:r>
            <w:r>
              <w:rPr>
                <w:rFonts w:ascii="宋体" w:hAnsi="宋体" w:cs="Arial"/>
                <w:color w:val="000000"/>
                <w:kern w:val="0"/>
                <w:sz w:val="20"/>
                <w:szCs w:val="20"/>
              </w:rPr>
              <w:t xml:space="preserve"> </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30213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维修</w:t>
            </w:r>
            <w:r>
              <w:rPr>
                <w:rFonts w:ascii="宋体" w:hAnsi="宋体" w:cs="Arial"/>
                <w:color w:val="000000"/>
                <w:kern w:val="0"/>
                <w:sz w:val="20"/>
                <w:szCs w:val="20"/>
              </w:rPr>
              <w:t>(</w:t>
            </w:r>
            <w:r>
              <w:rPr>
                <w:rFonts w:hint="eastAsia" w:ascii="宋体" w:hAnsi="宋体" w:cs="Arial"/>
                <w:color w:val="000000"/>
                <w:kern w:val="0"/>
                <w:sz w:val="20"/>
                <w:szCs w:val="20"/>
              </w:rPr>
              <w:t>护</w:t>
            </w:r>
            <w:r>
              <w:rPr>
                <w:rFonts w:ascii="宋体" w:hAnsi="宋体" w:cs="Arial"/>
                <w:color w:val="000000"/>
                <w:kern w:val="0"/>
                <w:sz w:val="20"/>
                <w:szCs w:val="20"/>
              </w:rPr>
              <w:t>)</w:t>
            </w:r>
            <w:r>
              <w:rPr>
                <w:rFonts w:hint="eastAsia" w:ascii="宋体" w:hAnsi="宋体" w:cs="Arial"/>
                <w:color w:val="000000"/>
                <w:kern w:val="0"/>
                <w:sz w:val="20"/>
                <w:szCs w:val="20"/>
              </w:rPr>
              <w:t>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3.04</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3.04</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30214</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租赁费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30215</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会议费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30216</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培训费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10.65</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10.65</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30217</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公务接待费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1.20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1.20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30218</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专用材料费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30224</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被装购置费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30225</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专用燃料费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30226</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劳务费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9.80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9.80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30227</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委托业务费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135.00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135.00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30228</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工会经费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30229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福利费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30231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公务用车运行维护费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30239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其他交通费用</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4.74</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4.74</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30240</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税金及附加费用</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30299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其他商品和服务支出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22.32</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22.32</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对个人和家庭的补助</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10.18</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10.18</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离休费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退休费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退职</w:t>
            </w:r>
            <w:r>
              <w:rPr>
                <w:rFonts w:ascii="宋体" w:hAnsi="宋体" w:cs="Arial"/>
                <w:color w:val="000000"/>
                <w:kern w:val="0"/>
                <w:sz w:val="20"/>
                <w:szCs w:val="20"/>
              </w:rPr>
              <w:t>(</w:t>
            </w:r>
            <w:r>
              <w:rPr>
                <w:rFonts w:hint="eastAsia" w:ascii="宋体" w:hAnsi="宋体" w:cs="Arial"/>
                <w:color w:val="000000"/>
                <w:kern w:val="0"/>
                <w:sz w:val="20"/>
                <w:szCs w:val="20"/>
              </w:rPr>
              <w:t>役</w:t>
            </w:r>
            <w:r>
              <w:rPr>
                <w:rFonts w:ascii="宋体" w:hAnsi="宋体" w:cs="Arial"/>
                <w:color w:val="000000"/>
                <w:kern w:val="0"/>
                <w:sz w:val="20"/>
                <w:szCs w:val="20"/>
              </w:rPr>
              <w:t>)</w:t>
            </w:r>
            <w:r>
              <w:rPr>
                <w:rFonts w:hint="eastAsia" w:ascii="宋体" w:hAnsi="宋体" w:cs="Arial"/>
                <w:color w:val="000000"/>
                <w:kern w:val="0"/>
                <w:sz w:val="20"/>
                <w:szCs w:val="20"/>
              </w:rPr>
              <w:t>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30304</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抚恤金</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7.10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7.10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30305</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生活补助</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2.48</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2.48</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30306</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救济费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30307</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医疗费</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30308</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助学金</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30309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奖励金</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30310</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个人农业生产补贴</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30399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其他对个人和家庭的补助支出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0.60</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0.60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资本性支出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31001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房屋建筑物购建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31002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办公设备购置</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31003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专用设备购置</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31005</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基础设施建设</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31006</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大型修缮</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31007</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信息网络及软件购置更新</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31008</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物资储备</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31009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土地补偿</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31010</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安置补助</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31011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地上附着物和青苗补偿</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31012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拆迁补偿</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31013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公务用车购置</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31019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其他交通工具购置</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31021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文物和陈列品购置</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31022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无形资产购置</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31099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其他资本性支出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对企业补助</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31201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资本金注入</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31203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政府投资基金股权投资</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31204</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费用补贴</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31205</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利息补贴</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31299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其他对企业补助</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307</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债务利息及费用支出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30701</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国内债务付息</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30702</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国外债务付息</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30703</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国内债务发行费用</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30704</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国外债务发行费用</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399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其他支出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39906</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赠与</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39907</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国家赔偿费用支出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39908</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对民间非营利组织和群众性自治组织补贴</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39999</w:t>
            </w:r>
          </w:p>
        </w:tc>
        <w:tc>
          <w:tcPr>
            <w:tcW w:w="4707"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其他支出</w:t>
            </w:r>
          </w:p>
        </w:tc>
        <w:tc>
          <w:tcPr>
            <w:tcW w:w="1139"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101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255" w:hRule="atLeast"/>
        </w:trPr>
        <w:tc>
          <w:tcPr>
            <w:tcW w:w="902"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4707"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139"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01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01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bl>
    <w:p>
      <w:pPr>
        <w:pStyle w:val="9"/>
        <w:ind w:left="720" w:leftChars="343" w:firstLine="480" w:firstLineChars="150"/>
        <w:jc w:val="left"/>
        <w:rPr>
          <w:rFonts w:ascii="仿宋" w:hAnsi="仿宋" w:eastAsia="仿宋"/>
          <w:sz w:val="32"/>
          <w:szCs w:val="32"/>
        </w:rPr>
      </w:pPr>
    </w:p>
    <w:p>
      <w:pPr>
        <w:ind w:firstLine="420" w:firstLineChars="95"/>
        <w:jc w:val="left"/>
        <w:rPr>
          <w:rFonts w:ascii="仿宋" w:hAnsi="仿宋" w:eastAsia="仿宋"/>
          <w:b/>
          <w:sz w:val="44"/>
          <w:szCs w:val="44"/>
        </w:rPr>
      </w:pPr>
      <w:r>
        <w:rPr>
          <w:rFonts w:hint="eastAsia" w:ascii="仿宋" w:hAnsi="仿宋" w:eastAsia="仿宋"/>
          <w:b/>
          <w:sz w:val="44"/>
          <w:szCs w:val="44"/>
        </w:rPr>
        <w:t>八、政府性基金预算财政拨款收入支出决算表</w:t>
      </w:r>
      <w:r>
        <w:rPr>
          <w:rFonts w:ascii="仿宋" w:hAnsi="仿宋" w:eastAsia="仿宋"/>
          <w:b/>
          <w:sz w:val="44"/>
          <w:szCs w:val="44"/>
        </w:rPr>
        <w:t xml:space="preserve"> </w:t>
      </w:r>
    </w:p>
    <w:tbl>
      <w:tblPr>
        <w:tblStyle w:val="6"/>
        <w:tblW w:w="8802" w:type="dxa"/>
        <w:tblInd w:w="95" w:type="dxa"/>
        <w:tblLayout w:type="autofit"/>
        <w:tblCellMar>
          <w:top w:w="0" w:type="dxa"/>
          <w:left w:w="108" w:type="dxa"/>
          <w:bottom w:w="0" w:type="dxa"/>
          <w:right w:w="108" w:type="dxa"/>
        </w:tblCellMar>
      </w:tblPr>
      <w:tblGrid>
        <w:gridCol w:w="900"/>
        <w:gridCol w:w="1140"/>
        <w:gridCol w:w="1080"/>
        <w:gridCol w:w="1000"/>
        <w:gridCol w:w="840"/>
        <w:gridCol w:w="960"/>
        <w:gridCol w:w="1120"/>
        <w:gridCol w:w="1762"/>
      </w:tblGrid>
      <w:tr>
        <w:tblPrEx>
          <w:tblCellMar>
            <w:top w:w="0" w:type="dxa"/>
            <w:left w:w="108" w:type="dxa"/>
            <w:bottom w:w="0" w:type="dxa"/>
            <w:right w:w="108" w:type="dxa"/>
          </w:tblCellMar>
        </w:tblPrEx>
        <w:trPr>
          <w:trHeight w:val="390" w:hRule="atLeast"/>
        </w:trPr>
        <w:tc>
          <w:tcPr>
            <w:tcW w:w="90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920" w:type="dxa"/>
            <w:gridSpan w:val="3"/>
            <w:tcBorders>
              <w:top w:val="nil"/>
              <w:left w:val="nil"/>
              <w:bottom w:val="nil"/>
              <w:right w:val="nil"/>
            </w:tcBorders>
            <w:noWrap/>
            <w:vAlign w:val="bottom"/>
          </w:tcPr>
          <w:p>
            <w:pPr>
              <w:widowControl/>
              <w:spacing w:line="240" w:lineRule="auto"/>
              <w:jc w:val="center"/>
              <w:rPr>
                <w:rFonts w:ascii="宋体" w:cs="Arial"/>
                <w:color w:val="000000"/>
                <w:kern w:val="0"/>
                <w:sz w:val="20"/>
                <w:szCs w:val="20"/>
              </w:rPr>
            </w:pPr>
            <w:r>
              <w:rPr>
                <w:rFonts w:ascii="宋体" w:hAnsi="宋体" w:cs="Arial"/>
                <w:color w:val="000000"/>
                <w:kern w:val="0"/>
                <w:sz w:val="20"/>
                <w:szCs w:val="20"/>
              </w:rPr>
              <w:t>2018</w:t>
            </w:r>
            <w:r>
              <w:rPr>
                <w:rFonts w:hint="eastAsia" w:ascii="宋体" w:hAnsi="宋体" w:cs="Arial"/>
                <w:color w:val="000000"/>
                <w:kern w:val="0"/>
                <w:sz w:val="20"/>
                <w:szCs w:val="20"/>
              </w:rPr>
              <w:t>年度</w:t>
            </w:r>
          </w:p>
        </w:tc>
        <w:tc>
          <w:tcPr>
            <w:tcW w:w="9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762"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4960" w:type="dxa"/>
            <w:gridSpan w:val="5"/>
            <w:tcBorders>
              <w:top w:val="nil"/>
              <w:left w:val="nil"/>
              <w:bottom w:val="single" w:color="000000" w:sz="4" w:space="0"/>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编制单位：中国共产党上杭县委员会党校</w:t>
            </w:r>
          </w:p>
        </w:tc>
        <w:tc>
          <w:tcPr>
            <w:tcW w:w="960"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882" w:type="dxa"/>
            <w:gridSpan w:val="2"/>
            <w:tcBorders>
              <w:top w:val="nil"/>
              <w:left w:val="nil"/>
              <w:bottom w:val="single" w:color="000000" w:sz="4" w:space="0"/>
              <w:right w:val="nil"/>
            </w:tcBorders>
            <w:noWrap/>
            <w:vAlign w:val="bottom"/>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金额单位：</w:t>
            </w:r>
            <w:r>
              <w:rPr>
                <w:rFonts w:ascii="宋体" w:hAnsi="宋体" w:cs="Arial"/>
                <w:color w:val="000000"/>
                <w:kern w:val="0"/>
                <w:sz w:val="20"/>
                <w:szCs w:val="20"/>
              </w:rPr>
              <w:t xml:space="preserve"> </w:t>
            </w: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trHeight w:val="387" w:hRule="atLeast"/>
        </w:trPr>
        <w:tc>
          <w:tcPr>
            <w:tcW w:w="90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114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08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年初结转和结余</w:t>
            </w:r>
          </w:p>
        </w:tc>
        <w:tc>
          <w:tcPr>
            <w:tcW w:w="1000"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本年收入</w:t>
            </w:r>
          </w:p>
        </w:tc>
        <w:tc>
          <w:tcPr>
            <w:tcW w:w="292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本年支出</w:t>
            </w:r>
          </w:p>
        </w:tc>
        <w:tc>
          <w:tcPr>
            <w:tcW w:w="1762" w:type="dxa"/>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年末结转和结余</w:t>
            </w:r>
          </w:p>
        </w:tc>
      </w:tr>
      <w:tr>
        <w:tblPrEx>
          <w:tblCellMar>
            <w:top w:w="0" w:type="dxa"/>
            <w:left w:w="108" w:type="dxa"/>
            <w:bottom w:w="0" w:type="dxa"/>
            <w:right w:w="108" w:type="dxa"/>
          </w:tblCellMar>
        </w:tblPrEx>
        <w:trPr>
          <w:trHeight w:val="510" w:hRule="atLeast"/>
        </w:trPr>
        <w:tc>
          <w:tcPr>
            <w:tcW w:w="900" w:type="dxa"/>
            <w:vMerge w:val="continue"/>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14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100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840" w:type="dxa"/>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小计</w:t>
            </w:r>
          </w:p>
        </w:tc>
        <w:tc>
          <w:tcPr>
            <w:tcW w:w="960" w:type="dxa"/>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基本支出</w:t>
            </w:r>
          </w:p>
        </w:tc>
        <w:tc>
          <w:tcPr>
            <w:tcW w:w="1120" w:type="dxa"/>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项目支出</w:t>
            </w:r>
          </w:p>
        </w:tc>
        <w:tc>
          <w:tcPr>
            <w:tcW w:w="1762"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r>
      <w:tr>
        <w:tblPrEx>
          <w:tblCellMar>
            <w:top w:w="0" w:type="dxa"/>
            <w:left w:w="108" w:type="dxa"/>
            <w:bottom w:w="0" w:type="dxa"/>
            <w:right w:w="108" w:type="dxa"/>
          </w:tblCellMar>
        </w:tblPrEx>
        <w:trPr>
          <w:trHeight w:val="465" w:hRule="atLeast"/>
        </w:trPr>
        <w:tc>
          <w:tcPr>
            <w:tcW w:w="900"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合计行</w:t>
            </w:r>
          </w:p>
        </w:tc>
        <w:tc>
          <w:tcPr>
            <w:tcW w:w="1140"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140"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08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84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96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1762"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　</w:t>
            </w:r>
          </w:p>
        </w:tc>
      </w:tr>
    </w:tbl>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本单位无政府性基金支出</w:t>
      </w:r>
    </w:p>
    <w:p>
      <w:pPr>
        <w:ind w:firstLine="827" w:firstLineChars="200"/>
        <w:jc w:val="left"/>
        <w:rPr>
          <w:rFonts w:ascii="仿宋" w:hAnsi="仿宋" w:eastAsia="仿宋"/>
          <w:b/>
          <w:spacing w:val="-14"/>
          <w:sz w:val="44"/>
          <w:szCs w:val="44"/>
        </w:rPr>
      </w:pPr>
      <w:r>
        <w:rPr>
          <w:rFonts w:hint="eastAsia" w:ascii="仿宋" w:hAnsi="仿宋" w:eastAsia="仿宋"/>
          <w:b/>
          <w:spacing w:val="-14"/>
          <w:sz w:val="44"/>
          <w:szCs w:val="44"/>
        </w:rPr>
        <w:t>九、部门决算相关信息统计表</w:t>
      </w:r>
    </w:p>
    <w:tbl>
      <w:tblPr>
        <w:tblStyle w:val="6"/>
        <w:tblW w:w="9982" w:type="dxa"/>
        <w:tblInd w:w="95" w:type="dxa"/>
        <w:tblLayout w:type="autofit"/>
        <w:tblCellMar>
          <w:top w:w="0" w:type="dxa"/>
          <w:left w:w="108" w:type="dxa"/>
          <w:bottom w:w="0" w:type="dxa"/>
          <w:right w:w="108" w:type="dxa"/>
        </w:tblCellMar>
      </w:tblPr>
      <w:tblGrid>
        <w:gridCol w:w="3415"/>
        <w:gridCol w:w="577"/>
        <w:gridCol w:w="774"/>
        <w:gridCol w:w="3185"/>
        <w:gridCol w:w="1276"/>
        <w:gridCol w:w="425"/>
        <w:gridCol w:w="94"/>
        <w:gridCol w:w="236"/>
      </w:tblGrid>
      <w:tr>
        <w:tblPrEx>
          <w:tblCellMar>
            <w:top w:w="0" w:type="dxa"/>
            <w:left w:w="108" w:type="dxa"/>
            <w:bottom w:w="0" w:type="dxa"/>
            <w:right w:w="108" w:type="dxa"/>
          </w:tblCellMar>
        </w:tblPrEx>
        <w:trPr>
          <w:gridAfter w:val="2"/>
          <w:wAfter w:w="330" w:type="dxa"/>
          <w:trHeight w:val="405" w:hRule="atLeast"/>
        </w:trPr>
        <w:tc>
          <w:tcPr>
            <w:tcW w:w="9652" w:type="dxa"/>
            <w:gridSpan w:val="6"/>
            <w:tcBorders>
              <w:top w:val="nil"/>
              <w:left w:val="nil"/>
              <w:bottom w:val="nil"/>
              <w:right w:val="nil"/>
            </w:tcBorders>
            <w:noWrap/>
            <w:vAlign w:val="bottom"/>
          </w:tcPr>
          <w:p>
            <w:pPr>
              <w:widowControl/>
              <w:spacing w:line="240" w:lineRule="auto"/>
              <w:ind w:firstLine="800" w:firstLineChars="250"/>
              <w:rPr>
                <w:rFonts w:ascii="宋体" w:cs="Arial"/>
                <w:color w:val="000000"/>
                <w:kern w:val="0"/>
                <w:sz w:val="32"/>
                <w:szCs w:val="32"/>
              </w:rPr>
            </w:pPr>
            <w:r>
              <w:rPr>
                <w:rFonts w:hint="eastAsia" w:ascii="宋体" w:hAnsi="宋体" w:cs="Arial"/>
                <w:color w:val="000000"/>
                <w:kern w:val="0"/>
                <w:sz w:val="32"/>
                <w:szCs w:val="32"/>
              </w:rPr>
              <w:t>附件</w:t>
            </w:r>
            <w:r>
              <w:rPr>
                <w:rFonts w:ascii="宋体" w:hAnsi="宋体" w:cs="Arial"/>
                <w:color w:val="000000"/>
                <w:kern w:val="0"/>
                <w:sz w:val="32"/>
                <w:szCs w:val="32"/>
              </w:rPr>
              <w:t>9_2018</w:t>
            </w:r>
            <w:r>
              <w:rPr>
                <w:rFonts w:hint="eastAsia" w:ascii="宋体" w:hAnsi="宋体" w:cs="Arial"/>
                <w:color w:val="000000"/>
                <w:kern w:val="0"/>
                <w:sz w:val="32"/>
                <w:szCs w:val="32"/>
              </w:rPr>
              <w:t>年部门决算相关信息统计表（公开）</w:t>
            </w:r>
          </w:p>
        </w:tc>
      </w:tr>
      <w:tr>
        <w:tblPrEx>
          <w:tblCellMar>
            <w:top w:w="0" w:type="dxa"/>
            <w:left w:w="108" w:type="dxa"/>
            <w:bottom w:w="0" w:type="dxa"/>
            <w:right w:w="108" w:type="dxa"/>
          </w:tblCellMar>
        </w:tblPrEx>
        <w:trPr>
          <w:trHeight w:val="255" w:hRule="atLeast"/>
        </w:trPr>
        <w:tc>
          <w:tcPr>
            <w:tcW w:w="3992"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774"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4980" w:type="dxa"/>
            <w:gridSpan w:val="4"/>
            <w:tcBorders>
              <w:top w:val="nil"/>
              <w:left w:val="nil"/>
              <w:bottom w:val="nil"/>
              <w:right w:val="nil"/>
            </w:tcBorders>
            <w:noWrap/>
            <w:vAlign w:val="bottom"/>
          </w:tcPr>
          <w:p>
            <w:pPr>
              <w:widowControl/>
              <w:spacing w:line="240" w:lineRule="auto"/>
              <w:jc w:val="center"/>
              <w:rPr>
                <w:rFonts w:ascii="宋体" w:cs="Arial"/>
                <w:color w:val="000000"/>
                <w:kern w:val="0"/>
                <w:sz w:val="20"/>
                <w:szCs w:val="20"/>
              </w:rPr>
            </w:pPr>
          </w:p>
        </w:tc>
        <w:tc>
          <w:tcPr>
            <w:tcW w:w="23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gridAfter w:val="3"/>
          <w:wAfter w:w="755" w:type="dxa"/>
          <w:trHeight w:val="255" w:hRule="atLeast"/>
        </w:trPr>
        <w:tc>
          <w:tcPr>
            <w:tcW w:w="4766" w:type="dxa"/>
            <w:gridSpan w:val="3"/>
            <w:tcBorders>
              <w:top w:val="nil"/>
              <w:left w:val="nil"/>
              <w:bottom w:val="single" w:color="000000" w:sz="4" w:space="0"/>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w:t>
            </w:r>
            <w:r>
              <w:rPr>
                <w:rFonts w:ascii="宋体" w:hAnsi="宋体" w:cs="Arial"/>
                <w:color w:val="000000"/>
                <w:kern w:val="0"/>
                <w:sz w:val="20"/>
                <w:szCs w:val="20"/>
              </w:rPr>
              <w:t xml:space="preserve"> </w:t>
            </w:r>
            <w:r>
              <w:rPr>
                <w:rFonts w:hint="eastAsia" w:ascii="宋体" w:hAnsi="宋体" w:cs="Arial"/>
                <w:color w:val="000000"/>
                <w:kern w:val="0"/>
                <w:sz w:val="20"/>
                <w:szCs w:val="20"/>
              </w:rPr>
              <w:t>中国共产党上杭县委员会党校</w:t>
            </w:r>
          </w:p>
        </w:tc>
        <w:tc>
          <w:tcPr>
            <w:tcW w:w="4461" w:type="dxa"/>
            <w:gridSpan w:val="2"/>
            <w:tcBorders>
              <w:top w:val="nil"/>
              <w:left w:val="nil"/>
              <w:bottom w:val="single" w:color="000000" w:sz="4" w:space="0"/>
              <w:right w:val="nil"/>
            </w:tcBorders>
            <w:noWrap/>
            <w:vAlign w:val="bottom"/>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金额单位：</w:t>
            </w:r>
            <w:r>
              <w:rPr>
                <w:rFonts w:ascii="宋体" w:hAnsi="宋体" w:cs="Arial"/>
                <w:color w:val="000000"/>
                <w:kern w:val="0"/>
                <w:sz w:val="20"/>
                <w:szCs w:val="20"/>
              </w:rPr>
              <w:t xml:space="preserve"> </w:t>
            </w: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gridAfter w:val="3"/>
          <w:wAfter w:w="755" w:type="dxa"/>
          <w:trHeight w:val="769"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单位名称</w:t>
            </w:r>
          </w:p>
        </w:tc>
        <w:tc>
          <w:tcPr>
            <w:tcW w:w="5812" w:type="dxa"/>
            <w:gridSpan w:val="4"/>
            <w:tcBorders>
              <w:top w:val="single" w:color="000000" w:sz="4" w:space="0"/>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中国共产党上杭县委员会党校</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w:t>
            </w:r>
            <w:r>
              <w:rPr>
                <w:rFonts w:ascii="宋体" w:hAnsi="宋体" w:cs="Arial"/>
                <w:color w:val="000000"/>
                <w:kern w:val="0"/>
                <w:sz w:val="20"/>
                <w:szCs w:val="20"/>
              </w:rPr>
              <w:t xml:space="preserve">  </w:t>
            </w:r>
            <w:r>
              <w:rPr>
                <w:rFonts w:hint="eastAsia" w:ascii="宋体" w:hAnsi="宋体" w:cs="Arial"/>
                <w:color w:val="000000"/>
                <w:kern w:val="0"/>
                <w:sz w:val="20"/>
                <w:szCs w:val="20"/>
              </w:rPr>
              <w:t>目</w:t>
            </w:r>
          </w:p>
        </w:tc>
        <w:tc>
          <w:tcPr>
            <w:tcW w:w="1351" w:type="dxa"/>
            <w:gridSpan w:val="2"/>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统计数</w:t>
            </w:r>
          </w:p>
        </w:tc>
        <w:tc>
          <w:tcPr>
            <w:tcW w:w="3185"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w:t>
            </w:r>
            <w:r>
              <w:rPr>
                <w:rFonts w:ascii="宋体" w:hAnsi="宋体" w:cs="Arial"/>
                <w:color w:val="000000"/>
                <w:kern w:val="0"/>
                <w:sz w:val="20"/>
                <w:szCs w:val="20"/>
              </w:rPr>
              <w:t xml:space="preserve">  </w:t>
            </w:r>
            <w:r>
              <w:rPr>
                <w:rFonts w:hint="eastAsia" w:ascii="宋体" w:hAnsi="宋体" w:cs="Arial"/>
                <w:color w:val="000000"/>
                <w:kern w:val="0"/>
                <w:sz w:val="20"/>
                <w:szCs w:val="20"/>
              </w:rPr>
              <w:t>目</w:t>
            </w:r>
          </w:p>
        </w:tc>
        <w:tc>
          <w:tcPr>
            <w:tcW w:w="1276" w:type="dxa"/>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统计数</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一、“三公”经费支出</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二、机关运行经费</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210.19</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（一）支出合计</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1.20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（一）行政单位</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1.</w:t>
            </w:r>
            <w:r>
              <w:rPr>
                <w:rFonts w:hint="eastAsia" w:ascii="宋体" w:hAnsi="宋体" w:cs="Arial"/>
                <w:color w:val="000000"/>
                <w:kern w:val="0"/>
                <w:sz w:val="20"/>
                <w:szCs w:val="20"/>
              </w:rPr>
              <w:t>因公出国（境）费</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（二）参照公务员法管理事业单位</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210.19</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2.</w:t>
            </w:r>
            <w:r>
              <w:rPr>
                <w:rFonts w:hint="eastAsia" w:ascii="宋体" w:hAnsi="宋体" w:cs="Arial"/>
                <w:color w:val="000000"/>
                <w:kern w:val="0"/>
                <w:sz w:val="20"/>
                <w:szCs w:val="20"/>
              </w:rPr>
              <w:t>公务用车购置及运行维护费</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三、国有资产占用情况</w:t>
            </w:r>
          </w:p>
        </w:tc>
        <w:tc>
          <w:tcPr>
            <w:tcW w:w="127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w:t>
            </w:r>
            <w:r>
              <w:rPr>
                <w:rFonts w:ascii="宋体" w:hAnsi="宋体" w:cs="Arial"/>
                <w:color w:val="000000"/>
                <w:kern w:val="0"/>
                <w:sz w:val="20"/>
                <w:szCs w:val="20"/>
              </w:rPr>
              <w:t>1</w:t>
            </w:r>
            <w:r>
              <w:rPr>
                <w:rFonts w:hint="eastAsia" w:ascii="宋体" w:hAnsi="宋体" w:cs="Arial"/>
                <w:color w:val="000000"/>
                <w:kern w:val="0"/>
                <w:sz w:val="20"/>
                <w:szCs w:val="20"/>
              </w:rPr>
              <w:t>）公务用车购置费</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（一）车辆数合计（辆）</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w:t>
            </w:r>
            <w:r>
              <w:rPr>
                <w:rFonts w:ascii="宋体" w:hAnsi="宋体" w:cs="Arial"/>
                <w:color w:val="000000"/>
                <w:kern w:val="0"/>
                <w:sz w:val="20"/>
                <w:szCs w:val="20"/>
              </w:rPr>
              <w:t>2</w:t>
            </w:r>
            <w:r>
              <w:rPr>
                <w:rFonts w:hint="eastAsia" w:ascii="宋体" w:hAnsi="宋体" w:cs="Arial"/>
                <w:color w:val="000000"/>
                <w:kern w:val="0"/>
                <w:sz w:val="20"/>
                <w:szCs w:val="20"/>
              </w:rPr>
              <w:t>）公务用车运行维护费</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1.</w:t>
            </w:r>
            <w:r>
              <w:rPr>
                <w:rFonts w:hint="eastAsia" w:ascii="宋体" w:hAnsi="宋体" w:cs="Arial"/>
                <w:color w:val="000000"/>
                <w:kern w:val="0"/>
                <w:sz w:val="20"/>
                <w:szCs w:val="20"/>
              </w:rPr>
              <w:t>副部（省）级及以上领导用车</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3.</w:t>
            </w:r>
            <w:r>
              <w:rPr>
                <w:rFonts w:hint="eastAsia" w:ascii="宋体" w:hAnsi="宋体" w:cs="Arial"/>
                <w:color w:val="000000"/>
                <w:kern w:val="0"/>
                <w:sz w:val="20"/>
                <w:szCs w:val="20"/>
              </w:rPr>
              <w:t>公务接待费</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1.20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2.</w:t>
            </w:r>
            <w:r>
              <w:rPr>
                <w:rFonts w:hint="eastAsia" w:ascii="宋体" w:hAnsi="宋体" w:cs="Arial"/>
                <w:color w:val="000000"/>
                <w:kern w:val="0"/>
                <w:sz w:val="20"/>
                <w:szCs w:val="20"/>
              </w:rPr>
              <w:t>主要领导干部用车</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w:t>
            </w:r>
            <w:r>
              <w:rPr>
                <w:rFonts w:ascii="宋体" w:hAnsi="宋体" w:cs="Arial"/>
                <w:color w:val="000000"/>
                <w:kern w:val="0"/>
                <w:sz w:val="20"/>
                <w:szCs w:val="20"/>
              </w:rPr>
              <w:t>1</w:t>
            </w:r>
            <w:r>
              <w:rPr>
                <w:rFonts w:hint="eastAsia" w:ascii="宋体" w:hAnsi="宋体" w:cs="Arial"/>
                <w:color w:val="000000"/>
                <w:kern w:val="0"/>
                <w:sz w:val="20"/>
                <w:szCs w:val="20"/>
              </w:rPr>
              <w:t>）国内接待费</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1.20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3.</w:t>
            </w:r>
            <w:r>
              <w:rPr>
                <w:rFonts w:hint="eastAsia" w:ascii="宋体" w:hAnsi="宋体" w:cs="Arial"/>
                <w:color w:val="000000"/>
                <w:kern w:val="0"/>
                <w:sz w:val="20"/>
                <w:szCs w:val="20"/>
              </w:rPr>
              <w:t>机要通信用车</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其中：外事接待费</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4.</w:t>
            </w:r>
            <w:r>
              <w:rPr>
                <w:rFonts w:hint="eastAsia" w:ascii="宋体" w:hAnsi="宋体" w:cs="Arial"/>
                <w:color w:val="000000"/>
                <w:kern w:val="0"/>
                <w:sz w:val="20"/>
                <w:szCs w:val="20"/>
              </w:rPr>
              <w:t>应急保障用车</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w:t>
            </w:r>
            <w:r>
              <w:rPr>
                <w:rFonts w:ascii="宋体" w:hAnsi="宋体" w:cs="Arial"/>
                <w:color w:val="000000"/>
                <w:kern w:val="0"/>
                <w:sz w:val="20"/>
                <w:szCs w:val="20"/>
              </w:rPr>
              <w:t>2</w:t>
            </w:r>
            <w:r>
              <w:rPr>
                <w:rFonts w:hint="eastAsia" w:ascii="宋体" w:hAnsi="宋体" w:cs="Arial"/>
                <w:color w:val="000000"/>
                <w:kern w:val="0"/>
                <w:sz w:val="20"/>
                <w:szCs w:val="20"/>
              </w:rPr>
              <w:t>）国（境）外接待费</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5.</w:t>
            </w:r>
            <w:r>
              <w:rPr>
                <w:rFonts w:hint="eastAsia" w:ascii="宋体" w:hAnsi="宋体" w:cs="Arial"/>
                <w:color w:val="000000"/>
                <w:kern w:val="0"/>
                <w:sz w:val="20"/>
                <w:szCs w:val="20"/>
              </w:rPr>
              <w:t>执法执勤用车</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（二）相关统计数</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6.</w:t>
            </w:r>
            <w:r>
              <w:rPr>
                <w:rFonts w:hint="eastAsia" w:ascii="宋体" w:hAnsi="宋体" w:cs="Arial"/>
                <w:color w:val="000000"/>
                <w:kern w:val="0"/>
                <w:sz w:val="20"/>
                <w:szCs w:val="20"/>
              </w:rPr>
              <w:t>特种专业技术用车</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1.</w:t>
            </w:r>
            <w:r>
              <w:rPr>
                <w:rFonts w:hint="eastAsia" w:ascii="宋体" w:hAnsi="宋体" w:cs="Arial"/>
                <w:color w:val="000000"/>
                <w:kern w:val="0"/>
                <w:sz w:val="20"/>
                <w:szCs w:val="20"/>
              </w:rPr>
              <w:t>因公出国（境）团组数（个）</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7.</w:t>
            </w:r>
            <w:r>
              <w:rPr>
                <w:rFonts w:hint="eastAsia" w:ascii="宋体" w:hAnsi="宋体" w:cs="Arial"/>
                <w:color w:val="000000"/>
                <w:kern w:val="0"/>
                <w:sz w:val="20"/>
                <w:szCs w:val="20"/>
              </w:rPr>
              <w:t>离退休干部用车</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2.</w:t>
            </w:r>
            <w:r>
              <w:rPr>
                <w:rFonts w:hint="eastAsia" w:ascii="宋体" w:hAnsi="宋体" w:cs="Arial"/>
                <w:color w:val="000000"/>
                <w:kern w:val="0"/>
                <w:sz w:val="20"/>
                <w:szCs w:val="20"/>
              </w:rPr>
              <w:t>因公出国（境）人次数（人）</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8.</w:t>
            </w:r>
            <w:r>
              <w:rPr>
                <w:rFonts w:hint="eastAsia" w:ascii="宋体" w:hAnsi="宋体" w:cs="Arial"/>
                <w:color w:val="000000"/>
                <w:kern w:val="0"/>
                <w:sz w:val="20"/>
                <w:szCs w:val="20"/>
              </w:rPr>
              <w:t>其他用车</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3.</w:t>
            </w:r>
            <w:r>
              <w:rPr>
                <w:rFonts w:hint="eastAsia" w:ascii="宋体" w:hAnsi="宋体" w:cs="Arial"/>
                <w:color w:val="000000"/>
                <w:kern w:val="0"/>
                <w:sz w:val="20"/>
                <w:szCs w:val="20"/>
              </w:rPr>
              <w:t>公务用车购置数（辆）</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（二）单价</w:t>
            </w:r>
            <w:r>
              <w:rPr>
                <w:rFonts w:ascii="宋体" w:hAnsi="宋体" w:cs="Arial"/>
                <w:color w:val="000000"/>
                <w:kern w:val="0"/>
                <w:sz w:val="20"/>
                <w:szCs w:val="20"/>
              </w:rPr>
              <w:t>50</w:t>
            </w:r>
            <w:r>
              <w:rPr>
                <w:rFonts w:hint="eastAsia" w:ascii="宋体" w:hAnsi="宋体" w:cs="Arial"/>
                <w:color w:val="000000"/>
                <w:kern w:val="0"/>
                <w:sz w:val="20"/>
                <w:szCs w:val="20"/>
              </w:rPr>
              <w:t>万元以上通用设备（台，套）</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4.</w:t>
            </w:r>
            <w:r>
              <w:rPr>
                <w:rFonts w:hint="eastAsia" w:ascii="宋体" w:hAnsi="宋体" w:cs="Arial"/>
                <w:color w:val="000000"/>
                <w:kern w:val="0"/>
                <w:sz w:val="20"/>
                <w:szCs w:val="20"/>
              </w:rPr>
              <w:t>公务用车保有量（辆）</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（三）单价</w:t>
            </w:r>
            <w:r>
              <w:rPr>
                <w:rFonts w:ascii="宋体" w:hAnsi="宋体" w:cs="Arial"/>
                <w:color w:val="000000"/>
                <w:kern w:val="0"/>
                <w:sz w:val="20"/>
                <w:szCs w:val="20"/>
              </w:rPr>
              <w:t>100</w:t>
            </w:r>
            <w:r>
              <w:rPr>
                <w:rFonts w:hint="eastAsia" w:ascii="宋体" w:hAnsi="宋体" w:cs="Arial"/>
                <w:color w:val="000000"/>
                <w:kern w:val="0"/>
                <w:sz w:val="20"/>
                <w:szCs w:val="20"/>
              </w:rPr>
              <w:t>万元以上专用设备（台，套）</w:t>
            </w:r>
          </w:p>
        </w:tc>
        <w:tc>
          <w:tcPr>
            <w:tcW w:w="127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5.</w:t>
            </w:r>
            <w:r>
              <w:rPr>
                <w:rFonts w:hint="eastAsia" w:ascii="宋体" w:hAnsi="宋体" w:cs="Arial"/>
                <w:color w:val="000000"/>
                <w:kern w:val="0"/>
                <w:sz w:val="20"/>
                <w:szCs w:val="20"/>
              </w:rPr>
              <w:t>国内公务接待批次（个）</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15</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其中：外事接待批次（个）</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6.</w:t>
            </w:r>
            <w:r>
              <w:rPr>
                <w:rFonts w:hint="eastAsia" w:ascii="宋体" w:hAnsi="宋体" w:cs="Arial"/>
                <w:color w:val="000000"/>
                <w:kern w:val="0"/>
                <w:sz w:val="20"/>
                <w:szCs w:val="20"/>
              </w:rPr>
              <w:t>国内公务接待人次（人）</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145</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其中：外事接待人次（人）</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7.</w:t>
            </w:r>
            <w:r>
              <w:rPr>
                <w:rFonts w:hint="eastAsia" w:ascii="宋体" w:hAnsi="宋体" w:cs="Arial"/>
                <w:color w:val="000000"/>
                <w:kern w:val="0"/>
                <w:sz w:val="20"/>
                <w:szCs w:val="20"/>
              </w:rPr>
              <w:t>国（境）外公务接待批次（个）</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3"/>
          <w:wAfter w:w="755" w:type="dxa"/>
          <w:trHeight w:val="308" w:hRule="atLeast"/>
        </w:trPr>
        <w:tc>
          <w:tcPr>
            <w:tcW w:w="3415"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ascii="宋体" w:hAnsi="宋体" w:cs="Arial"/>
                <w:color w:val="000000"/>
                <w:kern w:val="0"/>
                <w:sz w:val="20"/>
                <w:szCs w:val="20"/>
              </w:rPr>
              <w:t xml:space="preserve">  8.</w:t>
            </w:r>
            <w:r>
              <w:rPr>
                <w:rFonts w:hint="eastAsia" w:ascii="宋体" w:hAnsi="宋体" w:cs="Arial"/>
                <w:color w:val="000000"/>
                <w:kern w:val="0"/>
                <w:sz w:val="20"/>
                <w:szCs w:val="20"/>
              </w:rPr>
              <w:t>国（境）外公务接待人次（人）</w:t>
            </w:r>
          </w:p>
        </w:tc>
        <w:tc>
          <w:tcPr>
            <w:tcW w:w="1351"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w:t>
            </w:r>
          </w:p>
        </w:tc>
        <w:tc>
          <w:tcPr>
            <w:tcW w:w="3185"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3"/>
          <w:wAfter w:w="755" w:type="dxa"/>
          <w:trHeight w:val="255" w:hRule="atLeast"/>
        </w:trPr>
        <w:tc>
          <w:tcPr>
            <w:tcW w:w="3415"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351"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3185"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127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bl>
    <w:p>
      <w:pPr>
        <w:spacing w:line="600" w:lineRule="exact"/>
        <w:rPr>
          <w:rFonts w:ascii="仿宋" w:hAnsi="仿宋" w:eastAsia="仿宋"/>
          <w:spacing w:val="-14"/>
          <w:sz w:val="32"/>
          <w:szCs w:val="32"/>
        </w:rPr>
      </w:pPr>
    </w:p>
    <w:p>
      <w:pPr>
        <w:pStyle w:val="9"/>
        <w:spacing w:line="600" w:lineRule="exact"/>
        <w:ind w:left="720" w:leftChars="343" w:firstLine="621" w:firstLineChars="150"/>
        <w:rPr>
          <w:rFonts w:ascii="仿宋" w:hAnsi="仿宋" w:eastAsia="仿宋"/>
          <w:b/>
          <w:spacing w:val="-14"/>
          <w:sz w:val="44"/>
          <w:szCs w:val="44"/>
        </w:rPr>
      </w:pPr>
      <w:r>
        <w:rPr>
          <w:rFonts w:hint="eastAsia" w:ascii="仿宋" w:hAnsi="仿宋" w:eastAsia="仿宋"/>
          <w:b/>
          <w:spacing w:val="-14"/>
          <w:sz w:val="44"/>
          <w:szCs w:val="44"/>
        </w:rPr>
        <w:t>十、政府采购情况表</w:t>
      </w:r>
    </w:p>
    <w:tbl>
      <w:tblPr>
        <w:tblStyle w:val="6"/>
        <w:tblW w:w="10032" w:type="dxa"/>
        <w:tblInd w:w="95" w:type="dxa"/>
        <w:tblLayout w:type="autofit"/>
        <w:tblCellMar>
          <w:top w:w="0" w:type="dxa"/>
          <w:left w:w="108" w:type="dxa"/>
          <w:bottom w:w="0" w:type="dxa"/>
          <w:right w:w="108" w:type="dxa"/>
        </w:tblCellMar>
      </w:tblPr>
      <w:tblGrid>
        <w:gridCol w:w="1048"/>
        <w:gridCol w:w="716"/>
        <w:gridCol w:w="716"/>
        <w:gridCol w:w="216"/>
        <w:gridCol w:w="633"/>
        <w:gridCol w:w="216"/>
        <w:gridCol w:w="433"/>
        <w:gridCol w:w="432"/>
        <w:gridCol w:w="284"/>
        <w:gridCol w:w="447"/>
        <w:gridCol w:w="216"/>
        <w:gridCol w:w="577"/>
        <w:gridCol w:w="216"/>
        <w:gridCol w:w="608"/>
        <w:gridCol w:w="216"/>
        <w:gridCol w:w="691"/>
        <w:gridCol w:w="638"/>
        <w:gridCol w:w="74"/>
        <w:gridCol w:w="596"/>
        <w:gridCol w:w="83"/>
        <w:gridCol w:w="171"/>
        <w:gridCol w:w="569"/>
        <w:gridCol w:w="140"/>
        <w:gridCol w:w="96"/>
      </w:tblGrid>
      <w:tr>
        <w:tblPrEx>
          <w:tblCellMar>
            <w:top w:w="0" w:type="dxa"/>
            <w:left w:w="108" w:type="dxa"/>
            <w:bottom w:w="0" w:type="dxa"/>
            <w:right w:w="108" w:type="dxa"/>
          </w:tblCellMar>
        </w:tblPrEx>
        <w:trPr>
          <w:gridAfter w:val="5"/>
          <w:wAfter w:w="1059" w:type="dxa"/>
          <w:trHeight w:val="540" w:hRule="atLeast"/>
        </w:trPr>
        <w:tc>
          <w:tcPr>
            <w:tcW w:w="8973" w:type="dxa"/>
            <w:gridSpan w:val="19"/>
            <w:tcBorders>
              <w:top w:val="nil"/>
              <w:left w:val="nil"/>
              <w:bottom w:val="nil"/>
              <w:right w:val="nil"/>
            </w:tcBorders>
            <w:noWrap/>
            <w:vAlign w:val="bottom"/>
          </w:tcPr>
          <w:p>
            <w:pPr>
              <w:widowControl/>
              <w:spacing w:line="240" w:lineRule="auto"/>
              <w:jc w:val="center"/>
              <w:rPr>
                <w:rFonts w:ascii="宋体" w:cs="Arial"/>
                <w:color w:val="000000"/>
                <w:kern w:val="0"/>
                <w:sz w:val="32"/>
                <w:szCs w:val="32"/>
              </w:rPr>
            </w:pPr>
          </w:p>
        </w:tc>
      </w:tr>
      <w:tr>
        <w:tblPrEx>
          <w:tblCellMar>
            <w:top w:w="0" w:type="dxa"/>
            <w:left w:w="108" w:type="dxa"/>
            <w:bottom w:w="0" w:type="dxa"/>
            <w:right w:w="108" w:type="dxa"/>
          </w:tblCellMar>
        </w:tblPrEx>
        <w:trPr>
          <w:trHeight w:val="255" w:hRule="atLeast"/>
        </w:trPr>
        <w:tc>
          <w:tcPr>
            <w:tcW w:w="1048"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716"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932"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849"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865"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348" w:type="dxa"/>
            <w:gridSpan w:val="6"/>
            <w:tcBorders>
              <w:top w:val="nil"/>
              <w:left w:val="nil"/>
              <w:bottom w:val="nil"/>
              <w:right w:val="nil"/>
            </w:tcBorders>
            <w:noWrap/>
            <w:vAlign w:val="bottom"/>
          </w:tcPr>
          <w:p>
            <w:pPr>
              <w:widowControl/>
              <w:spacing w:line="240" w:lineRule="auto"/>
              <w:jc w:val="center"/>
              <w:rPr>
                <w:rFonts w:ascii="宋体" w:cs="Arial"/>
                <w:color w:val="000000"/>
                <w:kern w:val="0"/>
                <w:sz w:val="20"/>
                <w:szCs w:val="20"/>
              </w:rPr>
            </w:pPr>
            <w:r>
              <w:rPr>
                <w:rFonts w:ascii="宋体" w:hAnsi="宋体" w:cs="Arial"/>
                <w:color w:val="000000"/>
                <w:kern w:val="0"/>
                <w:sz w:val="20"/>
                <w:szCs w:val="20"/>
              </w:rPr>
              <w:t>2018</w:t>
            </w:r>
            <w:r>
              <w:rPr>
                <w:rFonts w:hint="eastAsia" w:ascii="宋体" w:hAnsi="宋体" w:cs="Arial"/>
                <w:color w:val="000000"/>
                <w:kern w:val="0"/>
                <w:sz w:val="20"/>
                <w:szCs w:val="20"/>
              </w:rPr>
              <w:t>年度</w:t>
            </w:r>
          </w:p>
        </w:tc>
        <w:tc>
          <w:tcPr>
            <w:tcW w:w="907"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638" w:type="dxa"/>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753" w:type="dxa"/>
            <w:gridSpan w:val="3"/>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740"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36"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r>
      <w:tr>
        <w:tblPrEx>
          <w:tblCellMar>
            <w:top w:w="0" w:type="dxa"/>
            <w:left w:w="108" w:type="dxa"/>
            <w:bottom w:w="0" w:type="dxa"/>
            <w:right w:w="108" w:type="dxa"/>
          </w:tblCellMar>
        </w:tblPrEx>
        <w:trPr>
          <w:gridAfter w:val="1"/>
          <w:wAfter w:w="96" w:type="dxa"/>
          <w:trHeight w:val="510" w:hRule="atLeast"/>
        </w:trPr>
        <w:tc>
          <w:tcPr>
            <w:tcW w:w="5141" w:type="dxa"/>
            <w:gridSpan w:val="10"/>
            <w:tcBorders>
              <w:top w:val="nil"/>
              <w:left w:val="nil"/>
              <w:bottom w:val="single" w:color="000000" w:sz="4" w:space="0"/>
              <w:right w:val="nil"/>
            </w:tcBorders>
            <w:noWrap/>
            <w:vAlign w:val="bottom"/>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编制单位：中国共产党上杭县委员会党校</w:t>
            </w:r>
          </w:p>
        </w:tc>
        <w:tc>
          <w:tcPr>
            <w:tcW w:w="793"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824"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907" w:type="dxa"/>
            <w:gridSpan w:val="2"/>
            <w:tcBorders>
              <w:top w:val="nil"/>
              <w:left w:val="nil"/>
              <w:bottom w:val="nil"/>
              <w:right w:val="nil"/>
            </w:tcBorders>
            <w:noWrap/>
            <w:vAlign w:val="bottom"/>
          </w:tcPr>
          <w:p>
            <w:pPr>
              <w:widowControl/>
              <w:spacing w:line="240" w:lineRule="auto"/>
              <w:jc w:val="left"/>
              <w:rPr>
                <w:rFonts w:ascii="Arial" w:hAnsi="Arial" w:cs="Arial"/>
                <w:color w:val="000000"/>
                <w:kern w:val="0"/>
                <w:sz w:val="20"/>
                <w:szCs w:val="20"/>
              </w:rPr>
            </w:pPr>
          </w:p>
        </w:tc>
        <w:tc>
          <w:tcPr>
            <w:tcW w:w="2271" w:type="dxa"/>
            <w:gridSpan w:val="7"/>
            <w:tcBorders>
              <w:top w:val="nil"/>
              <w:left w:val="nil"/>
              <w:bottom w:val="single" w:color="000000" w:sz="4" w:space="0"/>
              <w:right w:val="nil"/>
            </w:tcBorders>
            <w:noWrap/>
            <w:vAlign w:val="bottom"/>
          </w:tcPr>
          <w:p>
            <w:pPr>
              <w:widowControl/>
              <w:spacing w:line="240" w:lineRule="auto"/>
              <w:jc w:val="right"/>
              <w:rPr>
                <w:rFonts w:ascii="宋体" w:cs="Arial"/>
                <w:color w:val="000000"/>
                <w:kern w:val="0"/>
                <w:sz w:val="20"/>
                <w:szCs w:val="20"/>
              </w:rPr>
            </w:pPr>
            <w:r>
              <w:rPr>
                <w:rFonts w:hint="eastAsia" w:ascii="宋体" w:hAnsi="宋体" w:cs="Arial"/>
                <w:color w:val="000000"/>
                <w:kern w:val="0"/>
                <w:sz w:val="20"/>
                <w:szCs w:val="20"/>
              </w:rPr>
              <w:t>金额单位：</w:t>
            </w:r>
            <w:r>
              <w:rPr>
                <w:rFonts w:ascii="宋体" w:hAnsi="宋体" w:cs="Arial"/>
                <w:color w:val="000000"/>
                <w:kern w:val="0"/>
                <w:sz w:val="20"/>
                <w:szCs w:val="20"/>
              </w:rPr>
              <w:t xml:space="preserve"> </w:t>
            </w: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gridAfter w:val="1"/>
          <w:wAfter w:w="96" w:type="dxa"/>
          <w:trHeight w:val="769" w:hRule="atLeast"/>
        </w:trPr>
        <w:tc>
          <w:tcPr>
            <w:tcW w:w="1048"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单位名称</w:t>
            </w:r>
          </w:p>
        </w:tc>
        <w:tc>
          <w:tcPr>
            <w:tcW w:w="8888" w:type="dxa"/>
            <w:gridSpan w:val="22"/>
            <w:tcBorders>
              <w:top w:val="single" w:color="000000" w:sz="4" w:space="0"/>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上杭县本级</w:t>
            </w:r>
            <w:r>
              <w:rPr>
                <w:rFonts w:ascii="宋体" w:hAnsi="宋体" w:cs="Arial"/>
                <w:color w:val="000000"/>
                <w:kern w:val="0"/>
                <w:sz w:val="20"/>
                <w:szCs w:val="20"/>
              </w:rPr>
              <w:t>2018</w:t>
            </w:r>
            <w:r>
              <w:rPr>
                <w:rFonts w:hint="eastAsia" w:ascii="宋体" w:hAnsi="宋体" w:cs="Arial"/>
                <w:color w:val="000000"/>
                <w:kern w:val="0"/>
                <w:sz w:val="20"/>
                <w:szCs w:val="20"/>
              </w:rPr>
              <w:t>年度部门决算汇总</w:t>
            </w:r>
          </w:p>
        </w:tc>
      </w:tr>
      <w:tr>
        <w:tblPrEx>
          <w:tblCellMar>
            <w:top w:w="0" w:type="dxa"/>
            <w:left w:w="108" w:type="dxa"/>
            <w:bottom w:w="0" w:type="dxa"/>
            <w:right w:w="108" w:type="dxa"/>
          </w:tblCellMar>
        </w:tblPrEx>
        <w:trPr>
          <w:gridAfter w:val="1"/>
          <w:wAfter w:w="96" w:type="dxa"/>
          <w:trHeight w:val="345" w:hRule="atLeast"/>
        </w:trPr>
        <w:tc>
          <w:tcPr>
            <w:tcW w:w="1048"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项目</w:t>
            </w:r>
          </w:p>
        </w:tc>
        <w:tc>
          <w:tcPr>
            <w:tcW w:w="4309" w:type="dxa"/>
            <w:gridSpan w:val="10"/>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采购计划金额</w:t>
            </w:r>
          </w:p>
        </w:tc>
        <w:tc>
          <w:tcPr>
            <w:tcW w:w="4579" w:type="dxa"/>
            <w:gridSpan w:val="12"/>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实际采购金额</w:t>
            </w:r>
          </w:p>
        </w:tc>
      </w:tr>
      <w:tr>
        <w:tblPrEx>
          <w:tblCellMar>
            <w:top w:w="0" w:type="dxa"/>
            <w:left w:w="108" w:type="dxa"/>
            <w:bottom w:w="0" w:type="dxa"/>
            <w:right w:w="108" w:type="dxa"/>
          </w:tblCellMar>
        </w:tblPrEx>
        <w:trPr>
          <w:gridAfter w:val="1"/>
          <w:wAfter w:w="96" w:type="dxa"/>
          <w:trHeight w:val="308" w:hRule="atLeast"/>
        </w:trPr>
        <w:tc>
          <w:tcPr>
            <w:tcW w:w="1048" w:type="dxa"/>
            <w:vMerge w:val="continue"/>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716" w:type="dxa"/>
            <w:vMerge w:val="restart"/>
            <w:tcBorders>
              <w:top w:val="nil"/>
              <w:left w:val="nil"/>
              <w:bottom w:val="single" w:color="000000" w:sz="4" w:space="0"/>
              <w:right w:val="single" w:color="000000" w:sz="4" w:space="0"/>
            </w:tcBorders>
            <w:shd w:val="clear" w:color="FFFFFF" w:fill="C0C0C0"/>
            <w:noWrap/>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总计</w:t>
            </w:r>
          </w:p>
        </w:tc>
        <w:tc>
          <w:tcPr>
            <w:tcW w:w="2930" w:type="dxa"/>
            <w:gridSpan w:val="7"/>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采购预算</w:t>
            </w:r>
            <w:r>
              <w:rPr>
                <w:rFonts w:ascii="宋体" w:hAnsi="宋体" w:cs="Arial"/>
                <w:color w:val="000000"/>
                <w:kern w:val="0"/>
                <w:sz w:val="20"/>
                <w:szCs w:val="20"/>
              </w:rPr>
              <w:t>(</w:t>
            </w:r>
            <w:r>
              <w:rPr>
                <w:rFonts w:hint="eastAsia" w:ascii="宋体" w:hAnsi="宋体" w:cs="Arial"/>
                <w:color w:val="000000"/>
                <w:kern w:val="0"/>
                <w:sz w:val="20"/>
                <w:szCs w:val="20"/>
              </w:rPr>
              <w:t>财政性资金</w:t>
            </w:r>
            <w:r>
              <w:rPr>
                <w:rFonts w:ascii="宋体" w:hAnsi="宋体" w:cs="Arial"/>
                <w:color w:val="000000"/>
                <w:kern w:val="0"/>
                <w:sz w:val="20"/>
                <w:szCs w:val="20"/>
              </w:rPr>
              <w:t>)</w:t>
            </w:r>
          </w:p>
        </w:tc>
        <w:tc>
          <w:tcPr>
            <w:tcW w:w="663" w:type="dxa"/>
            <w:gridSpan w:val="2"/>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非财政性资金</w:t>
            </w:r>
          </w:p>
        </w:tc>
        <w:tc>
          <w:tcPr>
            <w:tcW w:w="793" w:type="dxa"/>
            <w:gridSpan w:val="2"/>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总计</w:t>
            </w:r>
          </w:p>
        </w:tc>
        <w:tc>
          <w:tcPr>
            <w:tcW w:w="3077" w:type="dxa"/>
            <w:gridSpan w:val="8"/>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采购预算</w:t>
            </w:r>
            <w:r>
              <w:rPr>
                <w:rFonts w:ascii="宋体" w:hAnsi="宋体" w:cs="Arial"/>
                <w:color w:val="000000"/>
                <w:kern w:val="0"/>
                <w:sz w:val="20"/>
                <w:szCs w:val="20"/>
              </w:rPr>
              <w:t>(</w:t>
            </w:r>
            <w:r>
              <w:rPr>
                <w:rFonts w:hint="eastAsia" w:ascii="宋体" w:hAnsi="宋体" w:cs="Arial"/>
                <w:color w:val="000000"/>
                <w:kern w:val="0"/>
                <w:sz w:val="20"/>
                <w:szCs w:val="20"/>
              </w:rPr>
              <w:t>财政性资金</w:t>
            </w:r>
            <w:r>
              <w:rPr>
                <w:rFonts w:ascii="宋体" w:hAnsi="宋体" w:cs="Arial"/>
                <w:color w:val="000000"/>
                <w:kern w:val="0"/>
                <w:sz w:val="20"/>
                <w:szCs w:val="20"/>
              </w:rPr>
              <w:t>)</w:t>
            </w:r>
          </w:p>
        </w:tc>
        <w:tc>
          <w:tcPr>
            <w:tcW w:w="709" w:type="dxa"/>
            <w:gridSpan w:val="2"/>
            <w:vMerge w:val="restart"/>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非财政性资金</w:t>
            </w:r>
          </w:p>
        </w:tc>
      </w:tr>
      <w:tr>
        <w:tblPrEx>
          <w:tblCellMar>
            <w:top w:w="0" w:type="dxa"/>
            <w:left w:w="108" w:type="dxa"/>
            <w:bottom w:w="0" w:type="dxa"/>
            <w:right w:w="108" w:type="dxa"/>
          </w:tblCellMar>
        </w:tblPrEx>
        <w:trPr>
          <w:gridAfter w:val="1"/>
          <w:wAfter w:w="96" w:type="dxa"/>
          <w:trHeight w:val="705" w:hRule="atLeast"/>
        </w:trPr>
        <w:tc>
          <w:tcPr>
            <w:tcW w:w="1048" w:type="dxa"/>
            <w:vMerge w:val="continue"/>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716" w:type="dxa"/>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合计</w:t>
            </w:r>
          </w:p>
        </w:tc>
        <w:tc>
          <w:tcPr>
            <w:tcW w:w="849" w:type="dxa"/>
            <w:gridSpan w:val="2"/>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一般公共预算</w:t>
            </w:r>
          </w:p>
        </w:tc>
        <w:tc>
          <w:tcPr>
            <w:tcW w:w="649" w:type="dxa"/>
            <w:gridSpan w:val="2"/>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政府性基金预算</w:t>
            </w:r>
          </w:p>
        </w:tc>
        <w:tc>
          <w:tcPr>
            <w:tcW w:w="716" w:type="dxa"/>
            <w:gridSpan w:val="2"/>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其他资金</w:t>
            </w:r>
          </w:p>
        </w:tc>
        <w:tc>
          <w:tcPr>
            <w:tcW w:w="663" w:type="dxa"/>
            <w:gridSpan w:val="2"/>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793" w:type="dxa"/>
            <w:gridSpan w:val="2"/>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c>
          <w:tcPr>
            <w:tcW w:w="824" w:type="dxa"/>
            <w:gridSpan w:val="2"/>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合计</w:t>
            </w:r>
          </w:p>
        </w:tc>
        <w:tc>
          <w:tcPr>
            <w:tcW w:w="691" w:type="dxa"/>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一般公共预算</w:t>
            </w:r>
          </w:p>
        </w:tc>
        <w:tc>
          <w:tcPr>
            <w:tcW w:w="712" w:type="dxa"/>
            <w:gridSpan w:val="2"/>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政府性基金预算</w:t>
            </w:r>
          </w:p>
        </w:tc>
        <w:tc>
          <w:tcPr>
            <w:tcW w:w="850" w:type="dxa"/>
            <w:gridSpan w:val="3"/>
            <w:tcBorders>
              <w:top w:val="nil"/>
              <w:left w:val="nil"/>
              <w:bottom w:val="single" w:color="000000" w:sz="4" w:space="0"/>
              <w:right w:val="single" w:color="000000" w:sz="4" w:space="0"/>
            </w:tcBorders>
            <w:shd w:val="clear" w:color="FFFFFF" w:fill="C0C0C0"/>
            <w:vAlign w:val="center"/>
          </w:tcPr>
          <w:p>
            <w:pPr>
              <w:widowControl/>
              <w:spacing w:line="240" w:lineRule="auto"/>
              <w:jc w:val="center"/>
              <w:rPr>
                <w:rFonts w:ascii="宋体" w:cs="Arial"/>
                <w:color w:val="000000"/>
                <w:kern w:val="0"/>
                <w:sz w:val="20"/>
                <w:szCs w:val="20"/>
              </w:rPr>
            </w:pPr>
            <w:r>
              <w:rPr>
                <w:rFonts w:hint="eastAsia" w:ascii="宋体" w:hAnsi="宋体" w:cs="Arial"/>
                <w:color w:val="000000"/>
                <w:kern w:val="0"/>
                <w:sz w:val="20"/>
                <w:szCs w:val="20"/>
              </w:rPr>
              <w:t>其他资金</w:t>
            </w:r>
          </w:p>
        </w:tc>
        <w:tc>
          <w:tcPr>
            <w:tcW w:w="709" w:type="dxa"/>
            <w:gridSpan w:val="2"/>
            <w:vMerge w:val="continue"/>
            <w:tcBorders>
              <w:top w:val="nil"/>
              <w:left w:val="nil"/>
              <w:bottom w:val="single" w:color="000000" w:sz="4" w:space="0"/>
              <w:right w:val="single" w:color="000000" w:sz="4" w:space="0"/>
            </w:tcBorders>
            <w:vAlign w:val="center"/>
          </w:tcPr>
          <w:p>
            <w:pPr>
              <w:widowControl/>
              <w:spacing w:line="240" w:lineRule="auto"/>
              <w:jc w:val="left"/>
              <w:rPr>
                <w:rFonts w:ascii="宋体" w:cs="Arial"/>
                <w:color w:val="000000"/>
                <w:kern w:val="0"/>
                <w:sz w:val="20"/>
                <w:szCs w:val="20"/>
              </w:rPr>
            </w:pPr>
          </w:p>
        </w:tc>
      </w:tr>
      <w:tr>
        <w:tblPrEx>
          <w:tblCellMar>
            <w:top w:w="0" w:type="dxa"/>
            <w:left w:w="108" w:type="dxa"/>
            <w:bottom w:w="0" w:type="dxa"/>
            <w:right w:w="108" w:type="dxa"/>
          </w:tblCellMar>
        </w:tblPrEx>
        <w:trPr>
          <w:gridAfter w:val="1"/>
          <w:wAfter w:w="96" w:type="dxa"/>
          <w:trHeight w:val="499" w:hRule="atLeast"/>
        </w:trPr>
        <w:tc>
          <w:tcPr>
            <w:tcW w:w="1048"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合</w:t>
            </w:r>
            <w:r>
              <w:rPr>
                <w:rFonts w:ascii="宋体" w:hAnsi="宋体" w:cs="Arial"/>
                <w:color w:val="000000"/>
                <w:kern w:val="0"/>
                <w:sz w:val="20"/>
                <w:szCs w:val="20"/>
              </w:rPr>
              <w:t xml:space="preserve">    </w:t>
            </w:r>
            <w:r>
              <w:rPr>
                <w:rFonts w:hint="eastAsia" w:ascii="宋体" w:hAnsi="宋体" w:cs="Arial"/>
                <w:color w:val="000000"/>
                <w:kern w:val="0"/>
                <w:sz w:val="20"/>
                <w:szCs w:val="20"/>
              </w:rPr>
              <w:t>计</w:t>
            </w:r>
          </w:p>
        </w:tc>
        <w:tc>
          <w:tcPr>
            <w:tcW w:w="7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19.64</w:t>
            </w:r>
          </w:p>
        </w:tc>
        <w:tc>
          <w:tcPr>
            <w:tcW w:w="7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19.64</w:t>
            </w:r>
          </w:p>
        </w:tc>
        <w:tc>
          <w:tcPr>
            <w:tcW w:w="84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c>
          <w:tcPr>
            <w:tcW w:w="64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16"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14.02</w:t>
            </w:r>
          </w:p>
        </w:tc>
        <w:tc>
          <w:tcPr>
            <w:tcW w:w="663"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93"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19.64</w:t>
            </w:r>
          </w:p>
        </w:tc>
        <w:tc>
          <w:tcPr>
            <w:tcW w:w="824"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19.64</w:t>
            </w:r>
          </w:p>
        </w:tc>
        <w:tc>
          <w:tcPr>
            <w:tcW w:w="69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c>
          <w:tcPr>
            <w:tcW w:w="712"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50" w:type="dxa"/>
            <w:gridSpan w:val="3"/>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14.02</w:t>
            </w:r>
          </w:p>
        </w:tc>
        <w:tc>
          <w:tcPr>
            <w:tcW w:w="70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1"/>
          <w:wAfter w:w="96" w:type="dxa"/>
          <w:trHeight w:val="499" w:hRule="atLeast"/>
        </w:trPr>
        <w:tc>
          <w:tcPr>
            <w:tcW w:w="1048"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货物</w:t>
            </w:r>
          </w:p>
        </w:tc>
        <w:tc>
          <w:tcPr>
            <w:tcW w:w="7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19.64</w:t>
            </w:r>
          </w:p>
        </w:tc>
        <w:tc>
          <w:tcPr>
            <w:tcW w:w="7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19.64</w:t>
            </w:r>
          </w:p>
        </w:tc>
        <w:tc>
          <w:tcPr>
            <w:tcW w:w="84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c>
          <w:tcPr>
            <w:tcW w:w="64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16"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14.02</w:t>
            </w:r>
          </w:p>
        </w:tc>
        <w:tc>
          <w:tcPr>
            <w:tcW w:w="663"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93"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19.64</w:t>
            </w:r>
          </w:p>
        </w:tc>
        <w:tc>
          <w:tcPr>
            <w:tcW w:w="824"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19.64</w:t>
            </w:r>
          </w:p>
        </w:tc>
        <w:tc>
          <w:tcPr>
            <w:tcW w:w="69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5.62</w:t>
            </w:r>
          </w:p>
        </w:tc>
        <w:tc>
          <w:tcPr>
            <w:tcW w:w="712"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50" w:type="dxa"/>
            <w:gridSpan w:val="3"/>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hAnsi="宋体" w:cs="Arial"/>
                <w:color w:val="000000"/>
                <w:kern w:val="0"/>
                <w:sz w:val="20"/>
                <w:szCs w:val="20"/>
              </w:rPr>
              <w:t>14.02</w:t>
            </w:r>
          </w:p>
        </w:tc>
        <w:tc>
          <w:tcPr>
            <w:tcW w:w="70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1"/>
          <w:wAfter w:w="96" w:type="dxa"/>
          <w:trHeight w:val="499" w:hRule="atLeast"/>
        </w:trPr>
        <w:tc>
          <w:tcPr>
            <w:tcW w:w="1048"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工程</w:t>
            </w:r>
          </w:p>
        </w:tc>
        <w:tc>
          <w:tcPr>
            <w:tcW w:w="7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4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64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16"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663"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93"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24"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69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12"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50" w:type="dxa"/>
            <w:gridSpan w:val="3"/>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0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After w:val="1"/>
          <w:wAfter w:w="96" w:type="dxa"/>
          <w:trHeight w:val="499" w:hRule="atLeast"/>
        </w:trPr>
        <w:tc>
          <w:tcPr>
            <w:tcW w:w="1048" w:type="dxa"/>
            <w:tcBorders>
              <w:top w:val="nil"/>
              <w:left w:val="single" w:color="000000" w:sz="4" w:space="0"/>
              <w:bottom w:val="single" w:color="000000" w:sz="4" w:space="0"/>
              <w:right w:val="single" w:color="000000" w:sz="4" w:space="0"/>
            </w:tcBorders>
            <w:shd w:val="clear" w:color="FFFFFF" w:fill="C0C0C0"/>
            <w:noWrap/>
            <w:vAlign w:val="center"/>
          </w:tcPr>
          <w:p>
            <w:pPr>
              <w:widowControl/>
              <w:spacing w:line="240" w:lineRule="auto"/>
              <w:jc w:val="left"/>
              <w:rPr>
                <w:rFonts w:ascii="宋体" w:cs="Arial"/>
                <w:color w:val="000000"/>
                <w:kern w:val="0"/>
                <w:sz w:val="20"/>
                <w:szCs w:val="20"/>
              </w:rPr>
            </w:pPr>
            <w:r>
              <w:rPr>
                <w:rFonts w:hint="eastAsia" w:ascii="宋体" w:hAnsi="宋体" w:cs="Arial"/>
                <w:color w:val="000000"/>
                <w:kern w:val="0"/>
                <w:sz w:val="20"/>
                <w:szCs w:val="20"/>
              </w:rPr>
              <w:t>服务</w:t>
            </w:r>
          </w:p>
        </w:tc>
        <w:tc>
          <w:tcPr>
            <w:tcW w:w="7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4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64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16"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663"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93"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24"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691" w:type="dxa"/>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12"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850" w:type="dxa"/>
            <w:gridSpan w:val="3"/>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c>
          <w:tcPr>
            <w:tcW w:w="709" w:type="dxa"/>
            <w:gridSpan w:val="2"/>
            <w:tcBorders>
              <w:top w:val="nil"/>
              <w:left w:val="nil"/>
              <w:bottom w:val="single" w:color="000000" w:sz="4" w:space="0"/>
              <w:right w:val="single" w:color="000000" w:sz="4" w:space="0"/>
            </w:tcBorders>
            <w:noWrap/>
            <w:vAlign w:val="center"/>
          </w:tcPr>
          <w:p>
            <w:pPr>
              <w:widowControl/>
              <w:spacing w:line="240" w:lineRule="auto"/>
              <w:jc w:val="right"/>
              <w:rPr>
                <w:rFonts w:ascii="宋体" w:cs="Arial"/>
                <w:color w:val="000000"/>
                <w:kern w:val="0"/>
                <w:sz w:val="20"/>
                <w:szCs w:val="20"/>
              </w:rPr>
            </w:pPr>
            <w:r>
              <w:rPr>
                <w:rFonts w:ascii="宋体" w:cs="Arial"/>
                <w:color w:val="000000"/>
                <w:kern w:val="0"/>
                <w:sz w:val="20"/>
                <w:szCs w:val="20"/>
              </w:rPr>
              <w:t>0.00</w:t>
            </w:r>
          </w:p>
        </w:tc>
      </w:tr>
    </w:tbl>
    <w:p>
      <w:pPr>
        <w:spacing w:line="600" w:lineRule="exact"/>
        <w:rPr>
          <w:rFonts w:ascii="仿宋" w:hAnsi="仿宋" w:eastAsia="仿宋"/>
          <w:sz w:val="32"/>
          <w:szCs w:val="32"/>
        </w:rPr>
      </w:pPr>
    </w:p>
    <w:sectPr>
      <w:headerReference r:id="rId3" w:type="default"/>
      <w:footerReference r:id="rId4" w:type="default"/>
      <w:pgSz w:w="11906" w:h="16838"/>
      <w:pgMar w:top="720" w:right="720" w:bottom="720" w:left="72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altName w:val="黑体"/>
    <w:panose1 w:val="00000000000000000000"/>
    <w:charset w:val="86"/>
    <w:family w:val="swiss"/>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20</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9A9"/>
    <w:rsid w:val="00002967"/>
    <w:rsid w:val="0002351C"/>
    <w:rsid w:val="000626C5"/>
    <w:rsid w:val="00066090"/>
    <w:rsid w:val="000813CE"/>
    <w:rsid w:val="000A0F2B"/>
    <w:rsid w:val="000D0545"/>
    <w:rsid w:val="000D28E8"/>
    <w:rsid w:val="00102458"/>
    <w:rsid w:val="00140789"/>
    <w:rsid w:val="001443B3"/>
    <w:rsid w:val="00163089"/>
    <w:rsid w:val="001710E7"/>
    <w:rsid w:val="00193F98"/>
    <w:rsid w:val="001A1632"/>
    <w:rsid w:val="001C0FCB"/>
    <w:rsid w:val="001C6A46"/>
    <w:rsid w:val="001D123C"/>
    <w:rsid w:val="001D5F23"/>
    <w:rsid w:val="001F0272"/>
    <w:rsid w:val="0020491F"/>
    <w:rsid w:val="00215A7F"/>
    <w:rsid w:val="00221EFF"/>
    <w:rsid w:val="002C4A96"/>
    <w:rsid w:val="002E1F79"/>
    <w:rsid w:val="002F27CB"/>
    <w:rsid w:val="00306AAB"/>
    <w:rsid w:val="00340EF1"/>
    <w:rsid w:val="003730CA"/>
    <w:rsid w:val="00395914"/>
    <w:rsid w:val="003C705C"/>
    <w:rsid w:val="003E1941"/>
    <w:rsid w:val="003E5A44"/>
    <w:rsid w:val="003F76FA"/>
    <w:rsid w:val="004146C0"/>
    <w:rsid w:val="00415C25"/>
    <w:rsid w:val="00421CE8"/>
    <w:rsid w:val="00427D3B"/>
    <w:rsid w:val="004853A4"/>
    <w:rsid w:val="00490CC8"/>
    <w:rsid w:val="00493E73"/>
    <w:rsid w:val="004B13E0"/>
    <w:rsid w:val="004B1945"/>
    <w:rsid w:val="004B6AA2"/>
    <w:rsid w:val="004C0B45"/>
    <w:rsid w:val="004E1398"/>
    <w:rsid w:val="004E6450"/>
    <w:rsid w:val="004F1FFD"/>
    <w:rsid w:val="004F60FA"/>
    <w:rsid w:val="004F71E0"/>
    <w:rsid w:val="005002F5"/>
    <w:rsid w:val="005023B1"/>
    <w:rsid w:val="005046B9"/>
    <w:rsid w:val="00511970"/>
    <w:rsid w:val="00520FA7"/>
    <w:rsid w:val="00537336"/>
    <w:rsid w:val="00540990"/>
    <w:rsid w:val="00551698"/>
    <w:rsid w:val="005636F9"/>
    <w:rsid w:val="0058140F"/>
    <w:rsid w:val="005C4677"/>
    <w:rsid w:val="00642866"/>
    <w:rsid w:val="0064397E"/>
    <w:rsid w:val="00650DC2"/>
    <w:rsid w:val="00686880"/>
    <w:rsid w:val="006A0C10"/>
    <w:rsid w:val="006A3BD6"/>
    <w:rsid w:val="006B04B1"/>
    <w:rsid w:val="006D6AF4"/>
    <w:rsid w:val="006E094F"/>
    <w:rsid w:val="006E4EED"/>
    <w:rsid w:val="006F5442"/>
    <w:rsid w:val="00743821"/>
    <w:rsid w:val="00753F37"/>
    <w:rsid w:val="00754EC4"/>
    <w:rsid w:val="0078636D"/>
    <w:rsid w:val="007A596D"/>
    <w:rsid w:val="007A66D1"/>
    <w:rsid w:val="007B0B86"/>
    <w:rsid w:val="007B6D34"/>
    <w:rsid w:val="007C33B9"/>
    <w:rsid w:val="007D1293"/>
    <w:rsid w:val="00812434"/>
    <w:rsid w:val="00817940"/>
    <w:rsid w:val="008D1A92"/>
    <w:rsid w:val="008E183D"/>
    <w:rsid w:val="008F6F5A"/>
    <w:rsid w:val="0090781D"/>
    <w:rsid w:val="00951522"/>
    <w:rsid w:val="009767AB"/>
    <w:rsid w:val="00977969"/>
    <w:rsid w:val="00997E62"/>
    <w:rsid w:val="009B2847"/>
    <w:rsid w:val="009D2EAF"/>
    <w:rsid w:val="009F4465"/>
    <w:rsid w:val="009F4D25"/>
    <w:rsid w:val="009F5095"/>
    <w:rsid w:val="00A342D9"/>
    <w:rsid w:val="00A65AF4"/>
    <w:rsid w:val="00A6751E"/>
    <w:rsid w:val="00A67F56"/>
    <w:rsid w:val="00A90CAA"/>
    <w:rsid w:val="00AA0253"/>
    <w:rsid w:val="00AC4E90"/>
    <w:rsid w:val="00B409A9"/>
    <w:rsid w:val="00B410DE"/>
    <w:rsid w:val="00B453A2"/>
    <w:rsid w:val="00B50B03"/>
    <w:rsid w:val="00B51BDF"/>
    <w:rsid w:val="00B7642D"/>
    <w:rsid w:val="00B8506E"/>
    <w:rsid w:val="00B95D4B"/>
    <w:rsid w:val="00BA3737"/>
    <w:rsid w:val="00BA6985"/>
    <w:rsid w:val="00BC32FC"/>
    <w:rsid w:val="00BD3E4A"/>
    <w:rsid w:val="00BE21C6"/>
    <w:rsid w:val="00BE36D0"/>
    <w:rsid w:val="00C21F11"/>
    <w:rsid w:val="00C6388F"/>
    <w:rsid w:val="00C63EF5"/>
    <w:rsid w:val="00C745CB"/>
    <w:rsid w:val="00C82626"/>
    <w:rsid w:val="00CB5F35"/>
    <w:rsid w:val="00CD49AD"/>
    <w:rsid w:val="00CF5E42"/>
    <w:rsid w:val="00D0143C"/>
    <w:rsid w:val="00D03EBC"/>
    <w:rsid w:val="00D10A63"/>
    <w:rsid w:val="00D21DA8"/>
    <w:rsid w:val="00D27AD3"/>
    <w:rsid w:val="00D4110F"/>
    <w:rsid w:val="00D55D41"/>
    <w:rsid w:val="00D71257"/>
    <w:rsid w:val="00D714D8"/>
    <w:rsid w:val="00D800A7"/>
    <w:rsid w:val="00D929A4"/>
    <w:rsid w:val="00DB4F15"/>
    <w:rsid w:val="00DC1CF9"/>
    <w:rsid w:val="00DE707F"/>
    <w:rsid w:val="00DE76CB"/>
    <w:rsid w:val="00E169BF"/>
    <w:rsid w:val="00E32212"/>
    <w:rsid w:val="00E42A6A"/>
    <w:rsid w:val="00E72F6C"/>
    <w:rsid w:val="00E875DB"/>
    <w:rsid w:val="00E933DB"/>
    <w:rsid w:val="00EA181A"/>
    <w:rsid w:val="00EB1557"/>
    <w:rsid w:val="00F01815"/>
    <w:rsid w:val="00F226DF"/>
    <w:rsid w:val="00F26985"/>
    <w:rsid w:val="00F66131"/>
    <w:rsid w:val="00F743D3"/>
    <w:rsid w:val="00F83BAF"/>
    <w:rsid w:val="00F90D38"/>
    <w:rsid w:val="00FA4606"/>
    <w:rsid w:val="00FB40B9"/>
    <w:rsid w:val="00FB707A"/>
    <w:rsid w:val="00FD570E"/>
    <w:rsid w:val="46276BBC"/>
    <w:rsid w:val="4F445A90"/>
    <w:rsid w:val="71F673AE"/>
    <w:rsid w:val="7F5320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pPr>
      <w:spacing w:line="240" w:lineRule="auto"/>
    </w:pPr>
    <w:rPr>
      <w:sz w:val="18"/>
      <w:szCs w:val="18"/>
    </w:rPr>
  </w:style>
  <w:style w:type="paragraph" w:styleId="3">
    <w:name w:val="footer"/>
    <w:basedOn w:val="1"/>
    <w:link w:val="12"/>
    <w:qFormat/>
    <w:uiPriority w:val="99"/>
    <w:pPr>
      <w:tabs>
        <w:tab w:val="center" w:pos="4153"/>
        <w:tab w:val="right" w:pos="8306"/>
      </w:tabs>
      <w:snapToGrid w:val="0"/>
      <w:spacing w:line="240" w:lineRule="auto"/>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8">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9">
    <w:name w:val="List Paragraph"/>
    <w:basedOn w:val="1"/>
    <w:qFormat/>
    <w:uiPriority w:val="99"/>
    <w:pPr>
      <w:ind w:firstLine="420" w:firstLineChars="200"/>
    </w:pPr>
  </w:style>
  <w:style w:type="character" w:customStyle="1" w:styleId="10">
    <w:name w:val="Balloon Text Char"/>
    <w:basedOn w:val="7"/>
    <w:link w:val="2"/>
    <w:semiHidden/>
    <w:qFormat/>
    <w:locked/>
    <w:uiPriority w:val="99"/>
    <w:rPr>
      <w:rFonts w:cs="Times New Roman"/>
      <w:sz w:val="18"/>
      <w:szCs w:val="18"/>
    </w:rPr>
  </w:style>
  <w:style w:type="character" w:customStyle="1" w:styleId="11">
    <w:name w:val="Header Char"/>
    <w:basedOn w:val="7"/>
    <w:link w:val="4"/>
    <w:qFormat/>
    <w:locked/>
    <w:uiPriority w:val="99"/>
    <w:rPr>
      <w:rFonts w:cs="Times New Roman"/>
      <w:sz w:val="18"/>
      <w:szCs w:val="18"/>
    </w:rPr>
  </w:style>
  <w:style w:type="character" w:customStyle="1" w:styleId="12">
    <w:name w:val="Footer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dell</Company>
  <Pages>34</Pages>
  <Words>3372</Words>
  <Characters>19225</Characters>
  <Lines>0</Lines>
  <Paragraphs>0</Paragraphs>
  <TotalTime>13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2019-07-22T07:50:00Z</dcterms:created>
  <dc:creator>刘菁</dc:creator>
  <cp:lastModifiedBy>Administrator</cp:lastModifiedBy>
  <cp:lastPrinted>2019-03-11T01:47:00Z</cp:lastPrinted>
  <dcterms:modified xsi:type="dcterms:W3CDTF">2020-03-30T00:18:46Z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